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B8118">
      <w:pPr>
        <w:rPr>
          <w:rFonts w:hint="eastAsia" w:ascii="微软雅黑" w:hAnsi="微软雅黑" w:eastAsia="微软雅黑" w:cs="微软雅黑"/>
        </w:rPr>
      </w:pPr>
    </w:p>
    <w:p w14:paraId="64019FB3">
      <w:pPr>
        <w:rPr>
          <w:rFonts w:hint="eastAsia" w:ascii="微软雅黑" w:hAnsi="微软雅黑" w:eastAsia="微软雅黑" w:cs="微软雅黑"/>
        </w:rPr>
      </w:pPr>
    </w:p>
    <w:p w14:paraId="10803C1A">
      <w:pPr>
        <w:rPr>
          <w:rFonts w:hint="eastAsia" w:ascii="微软雅黑" w:hAnsi="微软雅黑" w:eastAsia="微软雅黑" w:cs="微软雅黑"/>
        </w:rPr>
      </w:pPr>
    </w:p>
    <w:p w14:paraId="63F88CF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40"/>
        </w:rPr>
        <w:t>××××医院</w:t>
      </w:r>
    </w:p>
    <w:p w14:paraId="26EC9EF2">
      <w:pPr>
        <w:rPr>
          <w:rFonts w:hint="eastAsia" w:ascii="微软雅黑" w:hAnsi="微软雅黑" w:eastAsia="微软雅黑" w:cs="微软雅黑"/>
        </w:rPr>
      </w:pPr>
    </w:p>
    <w:p w14:paraId="02AE5CDF">
      <w:pPr>
        <w:rPr>
          <w:rFonts w:hint="eastAsia" w:ascii="微软雅黑" w:hAnsi="微软雅黑" w:eastAsia="微软雅黑" w:cs="微软雅黑"/>
        </w:rPr>
      </w:pPr>
    </w:p>
    <w:p w14:paraId="074948C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60"/>
        </w:rPr>
        <w:t>科室智能体运行情况报告</w:t>
      </w:r>
    </w:p>
    <w:p w14:paraId="217FE7B6">
      <w:pPr>
        <w:rPr>
          <w:rFonts w:hint="eastAsia" w:ascii="微软雅黑" w:hAnsi="微软雅黑" w:eastAsia="微软雅黑" w:cs="微软雅黑"/>
        </w:rPr>
      </w:pPr>
    </w:p>
    <w:p w14:paraId="576B862A">
      <w:pPr>
        <w:rPr>
          <w:rFonts w:hint="eastAsia" w:ascii="微软雅黑" w:hAnsi="微软雅黑" w:eastAsia="微软雅黑" w:cs="微软雅黑"/>
        </w:rPr>
      </w:pPr>
    </w:p>
    <w:p w14:paraId="42896B70">
      <w:pPr>
        <w:rPr>
          <w:rFonts w:hint="eastAsia" w:ascii="微软雅黑" w:hAnsi="微软雅黑" w:eastAsia="微软雅黑" w:cs="微软雅黑"/>
        </w:rPr>
      </w:pPr>
    </w:p>
    <w:p w14:paraId="094E1398">
      <w:pPr>
        <w:rPr>
          <w:rFonts w:hint="eastAsia" w:ascii="微软雅黑" w:hAnsi="微软雅黑" w:eastAsia="微软雅黑" w:cs="微软雅黑"/>
        </w:rPr>
      </w:pPr>
    </w:p>
    <w:p w14:paraId="4596073F">
      <w:pPr>
        <w:rPr>
          <w:rFonts w:hint="eastAsia" w:ascii="微软雅黑" w:hAnsi="微软雅黑" w:eastAsia="微软雅黑" w:cs="微软雅黑"/>
        </w:rPr>
      </w:pPr>
    </w:p>
    <w:p w14:paraId="0129ECAE">
      <w:pPr>
        <w:rPr>
          <w:rFonts w:hint="eastAsia" w:ascii="微软雅黑" w:hAnsi="微软雅黑" w:eastAsia="微软雅黑" w:cs="微软雅黑"/>
        </w:rPr>
      </w:pPr>
    </w:p>
    <w:p w14:paraId="01BAFC1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6"/>
        </w:rPr>
        <w:t>科室名称：放射科</w:t>
      </w:r>
    </w:p>
    <w:p w14:paraId="0502E1A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6"/>
        </w:rPr>
        <w:t>统计周期：2026年1月1日 — 2026年6月30日</w:t>
      </w:r>
    </w:p>
    <w:p w14:paraId="73DCDE93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6"/>
        </w:rPr>
        <w:t>生成方式：智能体管理平台基于台账数据按科室自动生成</w:t>
      </w:r>
    </w:p>
    <w:p w14:paraId="7B58635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6"/>
        </w:rPr>
        <w:t>编制日期：2026年7月</w:t>
      </w:r>
    </w:p>
    <w:p w14:paraId="73EAE48B">
      <w:pPr>
        <w:rPr>
          <w:rFonts w:hint="eastAsia" w:ascii="微软雅黑" w:hAnsi="微软雅黑" w:eastAsia="微软雅黑" w:cs="微软雅黑"/>
        </w:rPr>
      </w:pPr>
    </w:p>
    <w:p w14:paraId="223F10B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/>
          <w:color w:val="595959"/>
          <w:sz w:val="18"/>
        </w:rPr>
        <w:t>模板说明：本报告按科室逐一生成，文中科室、数据、图表与综述均为示例，供模板设计参考。</w:t>
      </w:r>
    </w:p>
    <w:p w14:paraId="622BC0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05BF56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32"/>
        </w:rPr>
        <w:t>目  录</w:t>
      </w:r>
    </w:p>
    <w:p w14:paraId="61753A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TOC \o "1-2" \h \z \u </w:instrText>
      </w:r>
      <w:r>
        <w:rPr>
          <w:rFonts w:hint="eastAsia" w:ascii="微软雅黑" w:hAnsi="微软雅黑" w:eastAsia="微软雅黑" w:cs="微软雅黑"/>
        </w:rPr>
        <w:fldChar w:fldCharType="end"/>
      </w:r>
    </w:p>
    <w:p w14:paraId="0C5571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/>
          <w:color w:val="595959"/>
          <w:sz w:val="18"/>
        </w:rPr>
        <w:t>提示：在 Word 中右键点击此处，选择“更新域”自动生成目录。</w:t>
      </w:r>
    </w:p>
    <w:p w14:paraId="2C32AD1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89874E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一、本科室智能体建设情况</w:t>
      </w:r>
    </w:p>
    <w:p w14:paraId="44518D7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（一）总体规模与关键指标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</w:tblGrid>
      <w:tr w14:paraId="3EC7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D9E5F1"/>
          </w:tcPr>
          <w:p w14:paraId="69622AA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30"/>
              </w:rPr>
              <w:t>8</w:t>
            </w:r>
          </w:p>
        </w:tc>
        <w:tc>
          <w:tcPr>
            <w:tcW w:w="1792" w:type="dxa"/>
            <w:shd w:val="clear" w:color="auto" w:fill="D9E5F1"/>
          </w:tcPr>
          <w:p w14:paraId="6FFD77B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30"/>
              </w:rPr>
              <w:t>18.6万</w:t>
            </w:r>
          </w:p>
        </w:tc>
        <w:tc>
          <w:tcPr>
            <w:tcW w:w="1792" w:type="dxa"/>
            <w:shd w:val="clear" w:color="auto" w:fill="D9E5F1"/>
          </w:tcPr>
          <w:p w14:paraId="54E8999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30"/>
              </w:rPr>
              <w:t>87.5%</w:t>
            </w:r>
          </w:p>
        </w:tc>
        <w:tc>
          <w:tcPr>
            <w:tcW w:w="1792" w:type="dxa"/>
            <w:shd w:val="clear" w:color="auto" w:fill="D9E5F1"/>
          </w:tcPr>
          <w:p w14:paraId="668C95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30"/>
              </w:rPr>
              <w:t>6.8万元</w:t>
            </w:r>
          </w:p>
        </w:tc>
      </w:tr>
      <w:tr w14:paraId="7A07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92" w:type="dxa"/>
          </w:tcPr>
          <w:p w14:paraId="58315F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6"/>
              </w:rPr>
              <w:t>纳管智能体数量（个）</w:t>
            </w:r>
          </w:p>
        </w:tc>
        <w:tc>
          <w:tcPr>
            <w:tcW w:w="1792" w:type="dxa"/>
          </w:tcPr>
          <w:p w14:paraId="3B10A62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6"/>
              </w:rPr>
              <w:t>总调用量（次）｜全院占比14.7%</w:t>
            </w:r>
          </w:p>
        </w:tc>
        <w:tc>
          <w:tcPr>
            <w:tcW w:w="1792" w:type="dxa"/>
          </w:tcPr>
          <w:p w14:paraId="665150B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6"/>
              </w:rPr>
              <w:t>正常运行率｜全院平均95.2%</w:t>
            </w:r>
          </w:p>
        </w:tc>
        <w:tc>
          <w:tcPr>
            <w:tcW w:w="1792" w:type="dxa"/>
          </w:tcPr>
          <w:p w14:paraId="3C1562A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6"/>
              </w:rPr>
              <w:t>使用成本（元）</w:t>
            </w:r>
          </w:p>
        </w:tc>
      </w:tr>
    </w:tbl>
    <w:p w14:paraId="41290CCF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截至2026年6月30日，本科室共纳管智能体8个，统计周期内总调用量18.6万次，占全院总调用量的14.7%，居全院各科室首位；正常运行率87.5%（7/8），低于全院平均水平95.2%，主要因1个智能体接口异常待恢复；使用成本合计6.8万元。</w:t>
      </w:r>
    </w:p>
    <w:p w14:paraId="0B4CECF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（二）本科室智能体清单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2116"/>
        <w:gridCol w:w="1609"/>
        <w:gridCol w:w="1250"/>
        <w:gridCol w:w="1325"/>
        <w:gridCol w:w="1124"/>
      </w:tblGrid>
      <w:tr w14:paraId="72E62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  <w:shd w:val="clear" w:color="auto" w:fill="D9E5F1"/>
          </w:tcPr>
          <w:p w14:paraId="50ACA46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编号</w:t>
            </w:r>
          </w:p>
        </w:tc>
        <w:tc>
          <w:tcPr>
            <w:tcW w:w="2116" w:type="dxa"/>
            <w:shd w:val="clear" w:color="auto" w:fill="D9E5F1"/>
          </w:tcPr>
          <w:p w14:paraId="080F30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名称</w:t>
            </w:r>
          </w:p>
        </w:tc>
        <w:tc>
          <w:tcPr>
            <w:tcW w:w="1609" w:type="dxa"/>
            <w:shd w:val="clear" w:color="auto" w:fill="D9E5F1"/>
          </w:tcPr>
          <w:p w14:paraId="3C6534D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诊疗环节</w:t>
            </w:r>
          </w:p>
        </w:tc>
        <w:tc>
          <w:tcPr>
            <w:tcW w:w="1250" w:type="dxa"/>
            <w:shd w:val="clear" w:color="auto" w:fill="D9E5F1"/>
          </w:tcPr>
          <w:p w14:paraId="73E3511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来源</w:t>
            </w:r>
          </w:p>
        </w:tc>
        <w:tc>
          <w:tcPr>
            <w:tcW w:w="1325" w:type="dxa"/>
            <w:shd w:val="clear" w:color="auto" w:fill="D9E5F1"/>
          </w:tcPr>
          <w:p w14:paraId="2495F48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风险等级</w:t>
            </w:r>
          </w:p>
        </w:tc>
        <w:tc>
          <w:tcPr>
            <w:tcW w:w="1124" w:type="dxa"/>
            <w:shd w:val="clear" w:color="auto" w:fill="D9E5F1"/>
          </w:tcPr>
          <w:p w14:paraId="07A29B6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运行状态</w:t>
            </w:r>
          </w:p>
        </w:tc>
      </w:tr>
      <w:tr w14:paraId="63404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1FBD68B9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1212DE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影像报告解读助手</w:t>
            </w:r>
          </w:p>
        </w:tc>
        <w:tc>
          <w:tcPr>
            <w:tcW w:w="1609" w:type="dxa"/>
          </w:tcPr>
          <w:p w14:paraId="70FC46C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辅助检查</w:t>
            </w:r>
          </w:p>
        </w:tc>
        <w:tc>
          <w:tcPr>
            <w:tcW w:w="1250" w:type="dxa"/>
          </w:tcPr>
          <w:p w14:paraId="72FEFB3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第三方厂商</w:t>
            </w:r>
          </w:p>
        </w:tc>
        <w:tc>
          <w:tcPr>
            <w:tcW w:w="1325" w:type="dxa"/>
          </w:tcPr>
          <w:p w14:paraId="15F595D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中度关注</w:t>
            </w:r>
          </w:p>
        </w:tc>
        <w:tc>
          <w:tcPr>
            <w:tcW w:w="1124" w:type="dxa"/>
          </w:tcPr>
          <w:p w14:paraId="0508D085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在线</w:t>
            </w:r>
          </w:p>
        </w:tc>
      </w:tr>
      <w:tr w14:paraId="5AE15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1FA86D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181F3C8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CT辅助诊断助手</w:t>
            </w:r>
          </w:p>
        </w:tc>
        <w:tc>
          <w:tcPr>
            <w:tcW w:w="1609" w:type="dxa"/>
          </w:tcPr>
          <w:p w14:paraId="3C2B4A7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辅助诊断</w:t>
            </w:r>
          </w:p>
        </w:tc>
        <w:tc>
          <w:tcPr>
            <w:tcW w:w="1250" w:type="dxa"/>
          </w:tcPr>
          <w:p w14:paraId="46EA3BC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第三方厂商</w:t>
            </w:r>
          </w:p>
        </w:tc>
        <w:tc>
          <w:tcPr>
            <w:tcW w:w="1325" w:type="dxa"/>
          </w:tcPr>
          <w:p w14:paraId="5D82E47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高度关注</w:t>
            </w:r>
          </w:p>
        </w:tc>
        <w:tc>
          <w:tcPr>
            <w:tcW w:w="1124" w:type="dxa"/>
          </w:tcPr>
          <w:p w14:paraId="24F3FED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在线</w:t>
            </w:r>
          </w:p>
        </w:tc>
      </w:tr>
      <w:tr w14:paraId="1414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39D3126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49FB5F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DR胸片筛查助手</w:t>
            </w:r>
          </w:p>
        </w:tc>
        <w:tc>
          <w:tcPr>
            <w:tcW w:w="1609" w:type="dxa"/>
          </w:tcPr>
          <w:p w14:paraId="1E69A9B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辅助诊断</w:t>
            </w:r>
          </w:p>
        </w:tc>
        <w:tc>
          <w:tcPr>
            <w:tcW w:w="1250" w:type="dxa"/>
          </w:tcPr>
          <w:p w14:paraId="7999ED3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第三方厂商</w:t>
            </w:r>
          </w:p>
        </w:tc>
        <w:tc>
          <w:tcPr>
            <w:tcW w:w="1325" w:type="dxa"/>
          </w:tcPr>
          <w:p w14:paraId="4DD9C7B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中度关注</w:t>
            </w:r>
          </w:p>
        </w:tc>
        <w:tc>
          <w:tcPr>
            <w:tcW w:w="1124" w:type="dxa"/>
          </w:tcPr>
          <w:p w14:paraId="35018F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在线</w:t>
            </w:r>
          </w:p>
        </w:tc>
      </w:tr>
      <w:tr w14:paraId="08E2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3708354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6F6B334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影像质控助手</w:t>
            </w:r>
          </w:p>
        </w:tc>
        <w:tc>
          <w:tcPr>
            <w:tcW w:w="1609" w:type="dxa"/>
          </w:tcPr>
          <w:p w14:paraId="1ECD350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辅助检查</w:t>
            </w:r>
          </w:p>
        </w:tc>
        <w:tc>
          <w:tcPr>
            <w:tcW w:w="1250" w:type="dxa"/>
          </w:tcPr>
          <w:p w14:paraId="0D9A8DD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自研</w:t>
            </w:r>
          </w:p>
        </w:tc>
        <w:tc>
          <w:tcPr>
            <w:tcW w:w="1325" w:type="dxa"/>
          </w:tcPr>
          <w:p w14:paraId="2A85F5B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中度关注</w:t>
            </w:r>
          </w:p>
        </w:tc>
        <w:tc>
          <w:tcPr>
            <w:tcW w:w="1124" w:type="dxa"/>
          </w:tcPr>
          <w:p w14:paraId="7AB2549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在线</w:t>
            </w:r>
          </w:p>
        </w:tc>
      </w:tr>
      <w:tr w14:paraId="0EA52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005455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72A7090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造影剂用量审核助手</w:t>
            </w:r>
          </w:p>
        </w:tc>
        <w:tc>
          <w:tcPr>
            <w:tcW w:w="1609" w:type="dxa"/>
          </w:tcPr>
          <w:p w14:paraId="6AF2C6E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辅助检查</w:t>
            </w:r>
          </w:p>
        </w:tc>
        <w:tc>
          <w:tcPr>
            <w:tcW w:w="1250" w:type="dxa"/>
          </w:tcPr>
          <w:p w14:paraId="291A5BD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第三方厂商</w:t>
            </w:r>
          </w:p>
        </w:tc>
        <w:tc>
          <w:tcPr>
            <w:tcW w:w="1325" w:type="dxa"/>
          </w:tcPr>
          <w:p w14:paraId="43B4E64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一般关注</w:t>
            </w:r>
          </w:p>
        </w:tc>
        <w:tc>
          <w:tcPr>
            <w:tcW w:w="1124" w:type="dxa"/>
          </w:tcPr>
          <w:p w14:paraId="1D85A6D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在线</w:t>
            </w:r>
          </w:p>
        </w:tc>
      </w:tr>
      <w:tr w14:paraId="229FD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4EC735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2BA7FFE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检查报告规范助手</w:t>
            </w:r>
          </w:p>
        </w:tc>
        <w:tc>
          <w:tcPr>
            <w:tcW w:w="1609" w:type="dxa"/>
          </w:tcPr>
          <w:p w14:paraId="6C03BF1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辅助检查</w:t>
            </w:r>
          </w:p>
        </w:tc>
        <w:tc>
          <w:tcPr>
            <w:tcW w:w="1250" w:type="dxa"/>
          </w:tcPr>
          <w:p w14:paraId="2F4136D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合作研发</w:t>
            </w:r>
          </w:p>
        </w:tc>
        <w:tc>
          <w:tcPr>
            <w:tcW w:w="1325" w:type="dxa"/>
          </w:tcPr>
          <w:p w14:paraId="15DF48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一般关注</w:t>
            </w:r>
          </w:p>
        </w:tc>
        <w:tc>
          <w:tcPr>
            <w:tcW w:w="1124" w:type="dxa"/>
          </w:tcPr>
          <w:p w14:paraId="6BB601C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在线</w:t>
            </w:r>
          </w:p>
        </w:tc>
      </w:tr>
      <w:tr w14:paraId="0692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433FA22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650AF5C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MRI预约排程助手</w:t>
            </w:r>
          </w:p>
        </w:tc>
        <w:tc>
          <w:tcPr>
            <w:tcW w:w="1609" w:type="dxa"/>
          </w:tcPr>
          <w:p w14:paraId="36C407A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其他</w:t>
            </w:r>
          </w:p>
        </w:tc>
        <w:tc>
          <w:tcPr>
            <w:tcW w:w="1250" w:type="dxa"/>
          </w:tcPr>
          <w:p w14:paraId="7A8B56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第三方厂商</w:t>
            </w:r>
          </w:p>
        </w:tc>
        <w:tc>
          <w:tcPr>
            <w:tcW w:w="1325" w:type="dxa"/>
          </w:tcPr>
          <w:p w14:paraId="3542C4B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一般关注</w:t>
            </w:r>
          </w:p>
        </w:tc>
        <w:tc>
          <w:tcPr>
            <w:tcW w:w="1124" w:type="dxa"/>
          </w:tcPr>
          <w:p w14:paraId="3030B565">
            <w:pPr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  <w:lang w:val="en-US" w:eastAsia="zh-CN"/>
              </w:rPr>
              <w:t>离线</w:t>
            </w:r>
          </w:p>
        </w:tc>
      </w:tr>
      <w:tr w14:paraId="007F2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4" w:type="dxa"/>
          </w:tcPr>
          <w:p w14:paraId="6A114E3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—</w:t>
            </w:r>
          </w:p>
        </w:tc>
        <w:tc>
          <w:tcPr>
            <w:tcW w:w="2116" w:type="dxa"/>
          </w:tcPr>
          <w:p w14:paraId="1831652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影像随访提醒助手</w:t>
            </w:r>
          </w:p>
        </w:tc>
        <w:tc>
          <w:tcPr>
            <w:tcW w:w="1609" w:type="dxa"/>
          </w:tcPr>
          <w:p w14:paraId="5BD7F04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辅助诊断</w:t>
            </w:r>
          </w:p>
        </w:tc>
        <w:tc>
          <w:tcPr>
            <w:tcW w:w="1250" w:type="dxa"/>
          </w:tcPr>
          <w:p w14:paraId="7B14F74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第三方厂商</w:t>
            </w:r>
          </w:p>
        </w:tc>
        <w:tc>
          <w:tcPr>
            <w:tcW w:w="1325" w:type="dxa"/>
          </w:tcPr>
          <w:p w14:paraId="2C79417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一般关注</w:t>
            </w:r>
          </w:p>
        </w:tc>
        <w:tc>
          <w:tcPr>
            <w:tcW w:w="1124" w:type="dxa"/>
          </w:tcPr>
          <w:p w14:paraId="11A32A5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异常</w:t>
            </w:r>
          </w:p>
        </w:tc>
      </w:tr>
    </w:tbl>
    <w:p w14:paraId="17FE1EE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（三）调用量趋势</w:t>
      </w:r>
    </w:p>
    <w:p w14:paraId="4150CF60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11750" cy="2013585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DCA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-1 本科室智能体月度调用量趋势（万次）</w:t>
      </w:r>
    </w:p>
    <w:p w14:paraId="69C3FA19">
      <w:pPr>
        <w:ind w:firstLine="480"/>
        <w:rPr>
          <w:rFonts w:hint="eastAsia" w:ascii="微软雅黑" w:hAnsi="微软雅黑" w:eastAsia="微软雅黑" w:cs="微软雅黑"/>
          <w:b w:val="0"/>
          <w:i w:val="0"/>
          <w:sz w:val="24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本科室月度调用量由1月的2.1万次增长至6月的4.4万次，累计增长109.5%，增速高于全院平均，智能体已深度融入影像检查与报告流程。</w:t>
      </w:r>
    </w:p>
    <w:p w14:paraId="45BC2D5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新增纳管智能体</w:t>
      </w:r>
      <w:r>
        <w:rPr>
          <w:rFonts w:hint="eastAsia" w:ascii="微软雅黑" w:hAnsi="微软雅黑" w:eastAsia="微软雅黑" w:cs="微软雅黑"/>
        </w:rPr>
        <w:t>趋势</w:t>
      </w:r>
    </w:p>
    <w:p w14:paraId="63C1E1CC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111750" cy="185864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8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7B1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-2 本科室每月新增纳管智能体数量（个）</w:t>
      </w:r>
    </w:p>
    <w:p w14:paraId="576BE3D6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上半年本科室新增纳管智能体8个，其中6月新增3个，为造影剂用量审核、检查报告规范、影像随访提醒等辅助场景，科室智能体应用广度持续拓展。</w:t>
      </w:r>
    </w:p>
    <w:p w14:paraId="5C9109A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（四）诊疗环节分布情况</w:t>
      </w:r>
    </w:p>
    <w:p w14:paraId="0CF27240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779520" cy="2218690"/>
            <wp:effectExtent l="0" t="0" r="190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21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C80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-3 本科室智能体诊疗环节分布（占比）</w:t>
      </w:r>
    </w:p>
    <w:p w14:paraId="5C0ECFA5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本科室智能体集中于辅助检查（4个，占50%）与辅助诊断（3个，占38%）环节，与科室业务特点相符；预约排程等运营辅助类1个。可结合患者服务需求，评估检查前须知推送等诊前场景的补充空间。</w:t>
      </w:r>
    </w:p>
    <w:p w14:paraId="61E7D44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（五）来源分布情况</w:t>
      </w:r>
    </w:p>
    <w:p w14:paraId="7EEE80E9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859655" cy="1840865"/>
            <wp:effectExtent l="0" t="0" r="762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4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1098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-4 本科室智能体来源分布（左：数量；右：占比）</w:t>
      </w:r>
    </w:p>
    <w:p w14:paraId="2FABCC1D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第三方厂商产品6个（占75%）、自研1个、合作研发1个。第三方产品占比较高，科室在使用中发现的问题请及时通过平台上报，作为供应商考核与续约评估依据。</w:t>
      </w:r>
    </w:p>
    <w:p w14:paraId="065B5CC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（六）风险分级情况</w:t>
      </w:r>
    </w:p>
    <w:p w14:paraId="12BF4125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859655" cy="1840865"/>
            <wp:effectExtent l="0" t="0" r="762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84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E81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-5 本科室智能体风险分级分布（左：数量；右：占比）</w:t>
      </w:r>
    </w:p>
    <w:p w14:paraId="242C7C43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本科室高度关注类智能体1个，为CT辅助诊断助手，其输出结论直接辅助临床诊断，须严格执行医生逐例复核签发制度；中度关注类3个、一般关注类4个。请科室按分级要求落实相应的使用管理措施。</w:t>
      </w:r>
    </w:p>
    <w:p w14:paraId="747CD3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（七）本科室智能体调用排行</w:t>
      </w:r>
    </w:p>
    <w:p w14:paraId="36B76EFF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99405" cy="2381885"/>
            <wp:effectExtent l="0" t="0" r="127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5A0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-6 本科室智能体调用排行（日均调用次数，标注全院排名）</w:t>
      </w:r>
    </w:p>
    <w:p w14:paraId="7C1A4891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影像报告解读助手日均调用4200次，居全院首位，为科室核心应用；MRI预约排程助手、影像随访提醒助手日均调用不足300次，使用率偏低，建议科室排查原因（如入口不便、功能不符、人员不熟悉），必要时组织针对性培训或向平台反馈优化需求。</w:t>
      </w:r>
    </w:p>
    <w:p w14:paraId="73A31A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5D3625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、对接系统情况</w:t>
      </w:r>
    </w:p>
    <w:p w14:paraId="1D7042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（一）对接业务系统数量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8"/>
      </w:tblGrid>
      <w:tr w14:paraId="5471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5F1"/>
          </w:tcPr>
          <w:p w14:paraId="6E9EFF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40"/>
              </w:rPr>
              <w:t>5</w:t>
            </w:r>
          </w:p>
        </w:tc>
      </w:tr>
      <w:tr w14:paraId="6355C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E516F3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8"/>
              </w:rPr>
              <w:t>本科室智能体对接的业务系统数量（个）</w:t>
            </w:r>
          </w:p>
        </w:tc>
      </w:tr>
    </w:tbl>
    <w:p w14:paraId="7131FFA8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本科室智能体共对接HIS、EMR、PACS、RIS、病案系统5个业务系统，其中HIS、RIS为全部智能体的基础依赖系统。</w:t>
      </w:r>
    </w:p>
    <w:p w14:paraId="5C808F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（二）各智能体对接系统数量排行</w:t>
      </w:r>
    </w:p>
    <w:p w14:paraId="27C115C0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859655" cy="21259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55A5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-1 本科室各智能体对接业务系统数量排行（个）</w:t>
      </w:r>
    </w:p>
    <w:p w14:paraId="127EEDED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影像报告解读助手对接5个系统，为本科室对接复杂度最高的智能体；相关系统升级或接口变更时，请科室提前关注平台变更通知，做好业务衔接安排。</w:t>
      </w:r>
    </w:p>
    <w:p w14:paraId="69FDCED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（三）各智能体对接系统具体情况</w:t>
      </w:r>
    </w:p>
    <w:p w14:paraId="12A9C3CE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679440" cy="2792730"/>
            <wp:effectExtent l="0" t="0" r="6985" b="762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925F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-2 本科室智能体×业务系统对接矩阵</w:t>
      </w:r>
    </w:p>
    <w:p w14:paraId="038CCC79">
      <w:pPr>
        <w:ind w:firstLine="480"/>
        <w:rPr>
          <w:rFonts w:hint="eastAsia" w:ascii="微软雅黑" w:hAnsi="微软雅黑" w:eastAsia="微软雅黑" w:cs="微软雅黑"/>
          <w:b w:val="0"/>
          <w:i w:val="0"/>
          <w:sz w:val="24"/>
        </w:rPr>
      </w:pPr>
      <w:r>
        <w:rPr>
          <w:rFonts w:hint="eastAsia" w:ascii="微软雅黑" w:hAnsi="微软雅黑" w:eastAsia="微软雅黑" w:cs="微软雅黑"/>
          <w:b w:val="0"/>
          <w:i/>
          <w:color w:val="595959"/>
          <w:sz w:val="18"/>
        </w:rPr>
        <w:t>颜色越深表示对接强度越高（调用量越大）。空白格表示未对接。此图可快速识别对接密度和空白区域。</w:t>
      </w:r>
    </w:p>
    <w:p w14:paraId="5CE44E5E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从对接矩阵看，本科室智能体高度依赖HIS、RIS与PACS。PACS对接的3个智能体均涉及影像调阅，其接口稳定性直接影响阅片效率，已纳入平台重点保障范围。</w:t>
      </w:r>
    </w:p>
    <w:p w14:paraId="3DD281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7B21C7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、准入评测情况</w:t>
      </w:r>
    </w:p>
    <w:p w14:paraId="3CEA06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（一）评测进度</w:t>
      </w:r>
    </w:p>
    <w:p w14:paraId="43DB510F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139565" cy="1512570"/>
            <wp:effectExtent l="0" t="0" r="381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340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-1 本科室智能体评测进度（项）</w:t>
      </w:r>
    </w:p>
    <w:p w14:paraId="334E954E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本科室8个智能体中，已完成评测6项、评测中2项。评测中的2项为6月新接入的检查报告规范助手与影像随访提醒助手，预计7月完成，评测结果将由平台自动同步至科室。</w:t>
      </w:r>
    </w:p>
    <w:p w14:paraId="2E32C46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（二）评测结果</w:t>
      </w:r>
    </w:p>
    <w:p w14:paraId="34D571D5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419475" cy="2051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0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9040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-2 本科室评测结果占比</w:t>
      </w:r>
    </w:p>
    <w:p w14:paraId="66B05080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已完成评测6项中，准入通过5项（83%）、退回修改1项（17%）。</w:t>
      </w:r>
    </w:p>
    <w:p w14:paraId="7F4839B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（三）退回原因分析</w:t>
      </w:r>
    </w:p>
    <w:p w14:paraId="58F75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自智能体接入以来，本科室累计发生评测退回记录5项（含历次评测与复评中已完成整改项），按输入安全、输出安全、行为安全、数据安全、工具安全五个维度归类统计如下：</w:t>
      </w:r>
    </w:p>
    <w:p w14:paraId="77B0B6E1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3959860" cy="2754630"/>
            <wp:effectExtent l="0" t="0" r="2540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5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79D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b/>
          <w:i w:val="0"/>
          <w:sz w:val="18"/>
        </w:rPr>
        <w:t>-3 本科室退回原因五维安全分布（项）</w:t>
      </w:r>
    </w:p>
    <w:p w14:paraId="2826D655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从五维分布看，输出安全维度问题最多（2项），主要表现为医学内容准确性与表述规范问题；输入安全、行为安全、数据安全各1项；工具安全维度表现最好，未发生退回。逐项情况如下：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22A1E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5F1"/>
          </w:tcPr>
          <w:p w14:paraId="68329A9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退回智能体</w:t>
            </w:r>
          </w:p>
        </w:tc>
        <w:tc>
          <w:tcPr>
            <w:tcW w:w="1134" w:type="dxa"/>
            <w:shd w:val="clear" w:color="auto" w:fill="D9E5F1"/>
          </w:tcPr>
          <w:p w14:paraId="20D7C09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安全维度</w:t>
            </w:r>
          </w:p>
        </w:tc>
        <w:tc>
          <w:tcPr>
            <w:tcW w:w="2608" w:type="dxa"/>
            <w:shd w:val="clear" w:color="auto" w:fill="D9E5F1"/>
          </w:tcPr>
          <w:p w14:paraId="677742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退回原因</w:t>
            </w:r>
          </w:p>
        </w:tc>
        <w:tc>
          <w:tcPr>
            <w:tcW w:w="2041" w:type="dxa"/>
            <w:shd w:val="clear" w:color="auto" w:fill="D9E5F1"/>
          </w:tcPr>
          <w:p w14:paraId="2CC6687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整改要求</w:t>
            </w:r>
          </w:p>
        </w:tc>
        <w:tc>
          <w:tcPr>
            <w:tcW w:w="1361" w:type="dxa"/>
            <w:shd w:val="clear" w:color="auto" w:fill="D9E5F1"/>
          </w:tcPr>
          <w:p w14:paraId="3B47DD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整改状态</w:t>
            </w:r>
          </w:p>
        </w:tc>
      </w:tr>
      <w:tr w14:paraId="7670B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36171D5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影像质控助手</w:t>
            </w:r>
          </w:p>
        </w:tc>
        <w:tc>
          <w:tcPr>
            <w:tcW w:w="1134" w:type="dxa"/>
          </w:tcPr>
          <w:p w14:paraId="08CA46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输出安全</w:t>
            </w:r>
          </w:p>
        </w:tc>
        <w:tc>
          <w:tcPr>
            <w:tcW w:w="2608" w:type="dxa"/>
          </w:tcPr>
          <w:p w14:paraId="72B830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质控规则误判率偏高，正常报告误标记率8.2%，超出3%准入线</w:t>
            </w:r>
          </w:p>
        </w:tc>
        <w:tc>
          <w:tcPr>
            <w:tcW w:w="2041" w:type="dxa"/>
          </w:tcPr>
          <w:p w14:paraId="7502F0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优化质控规则库并补充本院报告语料复测</w:t>
            </w:r>
          </w:p>
        </w:tc>
        <w:tc>
          <w:tcPr>
            <w:tcW w:w="1361" w:type="dxa"/>
          </w:tcPr>
          <w:p w14:paraId="47603D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整改中，2026-08复测</w:t>
            </w:r>
          </w:p>
        </w:tc>
      </w:tr>
      <w:tr w14:paraId="4533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62E09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CT辅助诊断助手</w:t>
            </w:r>
          </w:p>
        </w:tc>
        <w:tc>
          <w:tcPr>
            <w:tcW w:w="1134" w:type="dxa"/>
          </w:tcPr>
          <w:p w14:paraId="25C24C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输出安全</w:t>
            </w:r>
          </w:p>
        </w:tc>
        <w:tc>
          <w:tcPr>
            <w:tcW w:w="2608" w:type="dxa"/>
          </w:tcPr>
          <w:p w14:paraId="4F2B4A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对罕见征象的风险提示表述过度，易引发不必要临床干预</w:t>
            </w:r>
          </w:p>
        </w:tc>
        <w:tc>
          <w:tcPr>
            <w:tcW w:w="2041" w:type="dxa"/>
          </w:tcPr>
          <w:p w14:paraId="2BD115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调整输出模板与风险提示分级规则</w:t>
            </w:r>
          </w:p>
        </w:tc>
        <w:tc>
          <w:tcPr>
            <w:tcW w:w="1361" w:type="dxa"/>
          </w:tcPr>
          <w:p w14:paraId="5DDCF6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已整改通过（2026-03）</w:t>
            </w:r>
          </w:p>
        </w:tc>
      </w:tr>
      <w:tr w14:paraId="1DBD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CF743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DR胸片筛查助手</w:t>
            </w:r>
          </w:p>
        </w:tc>
        <w:tc>
          <w:tcPr>
            <w:tcW w:w="1134" w:type="dxa"/>
          </w:tcPr>
          <w:p w14:paraId="488297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输入安全</w:t>
            </w:r>
          </w:p>
        </w:tc>
        <w:tc>
          <w:tcPr>
            <w:tcW w:w="2608" w:type="dxa"/>
          </w:tcPr>
          <w:p w14:paraId="450C8B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对非标准体位、曝光不足影像未做输入校验，导致误判</w:t>
            </w:r>
          </w:p>
        </w:tc>
        <w:tc>
          <w:tcPr>
            <w:tcW w:w="2041" w:type="dxa"/>
          </w:tcPr>
          <w:p w14:paraId="624413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增加影像质量校验拦截，不合格影像提示重拍</w:t>
            </w:r>
          </w:p>
        </w:tc>
        <w:tc>
          <w:tcPr>
            <w:tcW w:w="1361" w:type="dxa"/>
          </w:tcPr>
          <w:p w14:paraId="7381EE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已整改通过（2026-02）</w:t>
            </w:r>
          </w:p>
        </w:tc>
      </w:tr>
      <w:tr w14:paraId="20DB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7C62E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影像随访提醒助手</w:t>
            </w:r>
          </w:p>
        </w:tc>
        <w:tc>
          <w:tcPr>
            <w:tcW w:w="1134" w:type="dxa"/>
          </w:tcPr>
          <w:p w14:paraId="00F74D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数据安全</w:t>
            </w:r>
          </w:p>
        </w:tc>
        <w:tc>
          <w:tcPr>
            <w:tcW w:w="2608" w:type="dxa"/>
          </w:tcPr>
          <w:p w14:paraId="5B23B1F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随访推送内容包含未脱敏的患者身份信息</w:t>
            </w:r>
          </w:p>
        </w:tc>
        <w:tc>
          <w:tcPr>
            <w:tcW w:w="2041" w:type="dxa"/>
          </w:tcPr>
          <w:p w14:paraId="3894AC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增加推送内容脱敏处理与模板审核</w:t>
            </w:r>
          </w:p>
        </w:tc>
        <w:tc>
          <w:tcPr>
            <w:tcW w:w="1361" w:type="dxa"/>
          </w:tcPr>
          <w:p w14:paraId="48883D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已整改通过（2026-05）</w:t>
            </w:r>
          </w:p>
        </w:tc>
      </w:tr>
      <w:tr w14:paraId="3D7AB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6E6EE20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MRI预约排程助手</w:t>
            </w:r>
          </w:p>
        </w:tc>
        <w:tc>
          <w:tcPr>
            <w:tcW w:w="1134" w:type="dxa"/>
          </w:tcPr>
          <w:p w14:paraId="681126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行为安全</w:t>
            </w:r>
          </w:p>
        </w:tc>
        <w:tc>
          <w:tcPr>
            <w:tcW w:w="2608" w:type="dxa"/>
          </w:tcPr>
          <w:p w14:paraId="0745AC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越权调用检查资源锁定接口，超出准入授权范围</w:t>
            </w:r>
          </w:p>
        </w:tc>
        <w:tc>
          <w:tcPr>
            <w:tcW w:w="2041" w:type="dxa"/>
          </w:tcPr>
          <w:p w14:paraId="3E04E3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收敛接口权限至查询类，锁定操作转人工确认</w:t>
            </w:r>
          </w:p>
        </w:tc>
        <w:tc>
          <w:tcPr>
            <w:tcW w:w="1361" w:type="dxa"/>
          </w:tcPr>
          <w:p w14:paraId="3FB4C8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已整改通过（2026-04）</w:t>
            </w:r>
          </w:p>
        </w:tc>
      </w:tr>
    </w:tbl>
    <w:p w14:paraId="26DB64E5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目前仅影像质控助手1项整改复测中，其余4项均已整改闭环。请科室配合复测工作，按平台要求提供典型报告样本，并安排质控医师参与复测结果确认。</w:t>
      </w:r>
    </w:p>
    <w:p w14:paraId="7233A3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3950E3F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、运行监测情况</w:t>
      </w:r>
    </w:p>
    <w:p w14:paraId="0DCA2C4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（一）告警情况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2986"/>
        <w:gridCol w:w="2986"/>
      </w:tblGrid>
      <w:tr w14:paraId="144E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2" w:type="dxa"/>
            <w:shd w:val="clear" w:color="auto" w:fill="FDEFDF"/>
          </w:tcPr>
          <w:p w14:paraId="5F25EC7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E86C00"/>
                <w:sz w:val="36"/>
              </w:rPr>
              <w:t>14</w:t>
            </w:r>
          </w:p>
        </w:tc>
        <w:tc>
          <w:tcPr>
            <w:tcW w:w="2982" w:type="dxa"/>
            <w:shd w:val="clear" w:color="auto" w:fill="D9E5F1"/>
          </w:tcPr>
          <w:p w14:paraId="4FD72CF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36"/>
              </w:rPr>
              <w:t>1</w:t>
            </w:r>
          </w:p>
        </w:tc>
        <w:tc>
          <w:tcPr>
            <w:tcW w:w="2993" w:type="dxa"/>
            <w:shd w:val="clear" w:color="auto" w:fill="D9E5F1"/>
          </w:tcPr>
          <w:p w14:paraId="17A4900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1F4E79"/>
                <w:sz w:val="36"/>
              </w:rPr>
              <w:t>35分钟</w:t>
            </w:r>
          </w:p>
        </w:tc>
      </w:tr>
      <w:tr w14:paraId="69C55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2" w:type="dxa"/>
          </w:tcPr>
          <w:p w14:paraId="1FD797D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8"/>
              </w:rPr>
              <w:t>告警次数（次）</w:t>
            </w:r>
          </w:p>
        </w:tc>
        <w:tc>
          <w:tcPr>
            <w:tcW w:w="2982" w:type="dxa"/>
          </w:tcPr>
          <w:p w14:paraId="2081B01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8"/>
              </w:rPr>
              <w:t>故障次数（次）</w:t>
            </w:r>
          </w:p>
        </w:tc>
        <w:tc>
          <w:tcPr>
            <w:tcW w:w="2993" w:type="dxa"/>
          </w:tcPr>
          <w:p w14:paraId="05E17C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18"/>
              </w:rPr>
              <w:t>故障平均恢复时间</w:t>
            </w:r>
          </w:p>
        </w:tc>
      </w:tr>
    </w:tbl>
    <w:p w14:paraId="1AE5A3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/>
          <w:color w:val="595959"/>
          <w:sz w:val="18"/>
        </w:rPr>
        <w:t>口径：告警为本科室智能体接入运行后产生的告警次数（较轻）；故障平均恢复时间为运行状态异常的智能体恢复正常的平均耗时。</w:t>
      </w:r>
    </w:p>
    <w:p w14:paraId="53BEF7F6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19700" cy="19189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9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609C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i w:val="0"/>
          <w:sz w:val="18"/>
        </w:rPr>
        <w:t>图</w:t>
      </w:r>
      <w:r>
        <w:rPr>
          <w:rFonts w:hint="eastAsia" w:ascii="微软雅黑" w:hAnsi="微软雅黑" w:eastAsia="微软雅黑" w:cs="微软雅黑"/>
          <w:b/>
          <w:i w:val="0"/>
          <w:sz w:val="18"/>
          <w:lang w:val="en-US" w:eastAsia="zh-CN"/>
        </w:rPr>
        <w:t>4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i w:val="0"/>
          <w:sz w:val="18"/>
        </w:rPr>
        <w:t>-1 本科室告警次数周度趋势（近12个周期，次）</w:t>
      </w:r>
    </w:p>
    <w:p w14:paraId="0129E6E7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近12周本科室智能体累计告警14次，周均1.2次，整体平稳；发生故障1次，平均恢复时间35分钟，优于全院平均水平（42分钟）。</w:t>
      </w:r>
    </w:p>
    <w:p w14:paraId="7AE5829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（二）异常智能体情况说明</w:t>
      </w:r>
    </w:p>
    <w:p w14:paraId="2F2FAC1F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截至报告导出时，本科室有1个智能体运行状态为异常：影像随访提醒助手，因供应商消息推送服务升级临时停用，异常期间请科室按原人工电话随访流程执行，预计××日恢复；恢复后平台将通知科室并自动补推异常期间的随访任务。</w:t>
      </w:r>
    </w:p>
    <w:p w14:paraId="51D44B2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（三）故障原因统计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9"/>
        <w:gridCol w:w="2239"/>
        <w:gridCol w:w="2239"/>
        <w:gridCol w:w="2239"/>
      </w:tblGrid>
      <w:tr w14:paraId="1818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5F1"/>
          </w:tcPr>
          <w:p w14:paraId="7FCA91D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监控维度</w:t>
            </w:r>
          </w:p>
        </w:tc>
        <w:tc>
          <w:tcPr>
            <w:tcW w:w="1587" w:type="dxa"/>
            <w:shd w:val="clear" w:color="auto" w:fill="D9E5F1"/>
          </w:tcPr>
          <w:p w14:paraId="19D890A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告警/故障次数</w:t>
            </w:r>
          </w:p>
        </w:tc>
        <w:tc>
          <w:tcPr>
            <w:tcW w:w="1134" w:type="dxa"/>
            <w:shd w:val="clear" w:color="auto" w:fill="D9E5F1"/>
          </w:tcPr>
          <w:p w14:paraId="0D12FF3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占比</w:t>
            </w:r>
          </w:p>
        </w:tc>
        <w:tc>
          <w:tcPr>
            <w:tcW w:w="4422" w:type="dxa"/>
            <w:shd w:val="clear" w:color="auto" w:fill="D9E5F1"/>
          </w:tcPr>
          <w:p w14:paraId="64450E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主要成因分析</w:t>
            </w:r>
          </w:p>
        </w:tc>
      </w:tr>
      <w:tr w14:paraId="6C349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16650E6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业务监控</w:t>
            </w:r>
          </w:p>
        </w:tc>
        <w:tc>
          <w:tcPr>
            <w:tcW w:w="1587" w:type="dxa"/>
          </w:tcPr>
          <w:p w14:paraId="5B0CA1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6</w:t>
            </w:r>
          </w:p>
        </w:tc>
        <w:tc>
          <w:tcPr>
            <w:tcW w:w="1134" w:type="dxa"/>
          </w:tcPr>
          <w:p w14:paraId="653784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42.9%</w:t>
            </w:r>
          </w:p>
        </w:tc>
        <w:tc>
          <w:tcPr>
            <w:tcW w:w="4422" w:type="dxa"/>
          </w:tcPr>
          <w:p w14:paraId="4ABCCA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高峰时段影像调阅接口响应超时</w:t>
            </w:r>
          </w:p>
        </w:tc>
      </w:tr>
      <w:tr w14:paraId="45565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085F68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状态监控</w:t>
            </w:r>
          </w:p>
        </w:tc>
        <w:tc>
          <w:tcPr>
            <w:tcW w:w="1587" w:type="dxa"/>
          </w:tcPr>
          <w:p w14:paraId="434389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5</w:t>
            </w:r>
          </w:p>
        </w:tc>
        <w:tc>
          <w:tcPr>
            <w:tcW w:w="1134" w:type="dxa"/>
          </w:tcPr>
          <w:p w14:paraId="0D0A88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35.7%</w:t>
            </w:r>
          </w:p>
        </w:tc>
        <w:tc>
          <w:tcPr>
            <w:tcW w:w="4422" w:type="dxa"/>
          </w:tcPr>
          <w:p w14:paraId="44A19D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模型服务响应缓慢，多发生于上午检查高峰</w:t>
            </w:r>
          </w:p>
        </w:tc>
      </w:tr>
      <w:tr w14:paraId="2371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42346E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成本监控</w:t>
            </w:r>
          </w:p>
        </w:tc>
        <w:tc>
          <w:tcPr>
            <w:tcW w:w="1587" w:type="dxa"/>
          </w:tcPr>
          <w:p w14:paraId="22D69E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2</w:t>
            </w:r>
          </w:p>
        </w:tc>
        <w:tc>
          <w:tcPr>
            <w:tcW w:w="1134" w:type="dxa"/>
          </w:tcPr>
          <w:p w14:paraId="20FF61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14.3%</w:t>
            </w:r>
          </w:p>
        </w:tc>
        <w:tc>
          <w:tcPr>
            <w:tcW w:w="4422" w:type="dxa"/>
          </w:tcPr>
          <w:p w14:paraId="116B3C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影像报告解读助手调用量增长触发预算阈值提醒</w:t>
            </w:r>
          </w:p>
        </w:tc>
      </w:tr>
      <w:tr w14:paraId="4CBFF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96CC8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安全监控</w:t>
            </w:r>
          </w:p>
        </w:tc>
        <w:tc>
          <w:tcPr>
            <w:tcW w:w="1587" w:type="dxa"/>
          </w:tcPr>
          <w:p w14:paraId="40F9EC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1</w:t>
            </w:r>
          </w:p>
        </w:tc>
        <w:tc>
          <w:tcPr>
            <w:tcW w:w="1134" w:type="dxa"/>
          </w:tcPr>
          <w:p w14:paraId="5CBA50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7.1%</w:t>
            </w:r>
          </w:p>
        </w:tc>
        <w:tc>
          <w:tcPr>
            <w:tcW w:w="4422" w:type="dxa"/>
          </w:tcPr>
          <w:p w14:paraId="096BA6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单终端异常高频调用，经核实为科研批量使用，已规范</w:t>
            </w:r>
          </w:p>
        </w:tc>
      </w:tr>
    </w:tbl>
    <w:p w14:paraId="63F3BA69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本科室告警集中于业务监控与状态监控维度（合计78.6%），与检查高峰时段资源紧张相关；平台已列入接口扩容计划。科研等批量调用需求请提前向平台申请专用通道，避免触发安全告警。</w:t>
      </w:r>
    </w:p>
    <w:p w14:paraId="25ABD74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（四）典型问题及处理方案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1792"/>
        <w:gridCol w:w="1792"/>
        <w:gridCol w:w="1792"/>
        <w:gridCol w:w="1792"/>
      </w:tblGrid>
      <w:tr w14:paraId="4464E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shd w:val="clear" w:color="auto" w:fill="D9E5F1"/>
          </w:tcPr>
          <w:p w14:paraId="561B2E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序号</w:t>
            </w:r>
          </w:p>
        </w:tc>
        <w:tc>
          <w:tcPr>
            <w:tcW w:w="2154" w:type="dxa"/>
            <w:shd w:val="clear" w:color="auto" w:fill="D9E5F1"/>
          </w:tcPr>
          <w:p w14:paraId="6F2DD22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典型问题</w:t>
            </w:r>
          </w:p>
        </w:tc>
        <w:tc>
          <w:tcPr>
            <w:tcW w:w="2154" w:type="dxa"/>
            <w:shd w:val="clear" w:color="auto" w:fill="D9E5F1"/>
          </w:tcPr>
          <w:p w14:paraId="0A9DD8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处理方案</w:t>
            </w:r>
          </w:p>
        </w:tc>
        <w:tc>
          <w:tcPr>
            <w:tcW w:w="1134" w:type="dxa"/>
            <w:shd w:val="clear" w:color="auto" w:fill="D9E5F1"/>
          </w:tcPr>
          <w:p w14:paraId="1CAA40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处理进展</w:t>
            </w:r>
          </w:p>
        </w:tc>
        <w:tc>
          <w:tcPr>
            <w:tcW w:w="2948" w:type="dxa"/>
            <w:shd w:val="clear" w:color="auto" w:fill="D9E5F1"/>
          </w:tcPr>
          <w:p w14:paraId="551C54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sz w:val="21"/>
              </w:rPr>
              <w:t>需科室配合事项</w:t>
            </w:r>
          </w:p>
        </w:tc>
      </w:tr>
      <w:tr w14:paraId="50247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0DB7F4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1</w:t>
            </w:r>
          </w:p>
        </w:tc>
        <w:tc>
          <w:tcPr>
            <w:tcW w:w="2154" w:type="dxa"/>
          </w:tcPr>
          <w:p w14:paraId="52A822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影像报告解读助手高峰期响应超时</w:t>
            </w:r>
          </w:p>
        </w:tc>
        <w:tc>
          <w:tcPr>
            <w:tcW w:w="2154" w:type="dxa"/>
          </w:tcPr>
          <w:p w14:paraId="3172F8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接口网关扩容，错峰调度</w:t>
            </w:r>
          </w:p>
        </w:tc>
        <w:tc>
          <w:tcPr>
            <w:tcW w:w="1134" w:type="dxa"/>
          </w:tcPr>
          <w:p w14:paraId="011C64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已完成</w:t>
            </w:r>
          </w:p>
        </w:tc>
        <w:tc>
          <w:tcPr>
            <w:tcW w:w="2948" w:type="dxa"/>
          </w:tcPr>
          <w:p w14:paraId="3DA53D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无</w:t>
            </w:r>
          </w:p>
        </w:tc>
      </w:tr>
      <w:tr w14:paraId="6567B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1A7202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2</w:t>
            </w:r>
          </w:p>
        </w:tc>
        <w:tc>
          <w:tcPr>
            <w:tcW w:w="2154" w:type="dxa"/>
          </w:tcPr>
          <w:p w14:paraId="6AE5CB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影像质控助手正常报告误标记率偏高</w:t>
            </w:r>
          </w:p>
        </w:tc>
        <w:tc>
          <w:tcPr>
            <w:tcW w:w="2154" w:type="dxa"/>
          </w:tcPr>
          <w:p w14:paraId="03057F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优化规则库，补充语料复测</w:t>
            </w:r>
          </w:p>
        </w:tc>
        <w:tc>
          <w:tcPr>
            <w:tcW w:w="1134" w:type="dxa"/>
          </w:tcPr>
          <w:p w14:paraId="3FA5B2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进行中</w:t>
            </w:r>
          </w:p>
        </w:tc>
        <w:tc>
          <w:tcPr>
            <w:tcW w:w="2948" w:type="dxa"/>
          </w:tcPr>
          <w:p w14:paraId="4FB4E1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提供典型报告样本，质控医师参与复测确认</w:t>
            </w:r>
          </w:p>
        </w:tc>
      </w:tr>
      <w:tr w14:paraId="78C6E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</w:tcPr>
          <w:p w14:paraId="3BB0D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3</w:t>
            </w:r>
          </w:p>
        </w:tc>
        <w:tc>
          <w:tcPr>
            <w:tcW w:w="2154" w:type="dxa"/>
          </w:tcPr>
          <w:p w14:paraId="41CD73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影像随访提醒助手推送服务停用</w:t>
            </w:r>
          </w:p>
        </w:tc>
        <w:tc>
          <w:tcPr>
            <w:tcW w:w="2154" w:type="dxa"/>
          </w:tcPr>
          <w:p w14:paraId="0B1D41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供应商升级后恢复并补推任务</w:t>
            </w:r>
          </w:p>
        </w:tc>
        <w:tc>
          <w:tcPr>
            <w:tcW w:w="1134" w:type="dxa"/>
          </w:tcPr>
          <w:p w14:paraId="2C8556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进行中</w:t>
            </w:r>
          </w:p>
        </w:tc>
        <w:tc>
          <w:tcPr>
            <w:tcW w:w="2948" w:type="dxa"/>
          </w:tcPr>
          <w:p w14:paraId="7545C4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sz w:val="20"/>
              </w:rPr>
              <w:t>异常期间执行人工电话随访流程</w:t>
            </w:r>
          </w:p>
        </w:tc>
      </w:tr>
    </w:tbl>
    <w:p w14:paraId="17A3C9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6ADE1B5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、报告总结</w:t>
      </w:r>
    </w:p>
    <w:p w14:paraId="543D00E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（一）存在的问题</w:t>
      </w:r>
    </w:p>
    <w:p w14:paraId="2DED0F20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一是正常运行率低于全院平均。本科室正常运行率87.5%，低于全院平均95.2%，影像随访提醒助手异常尚未恢复，随访业务暂靠人工兜底。</w:t>
      </w:r>
    </w:p>
    <w:p w14:paraId="3B7C3C9A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二是部分智能体使用率偏低。MRI预约排程助手、影像随访提醒助手日均调用不足300次，与科室业务量不匹配，存在建而少用的情况。</w:t>
      </w:r>
    </w:p>
    <w:p w14:paraId="070FF582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三是自研智能体质量待提升。影像质控助手评测退回整改中，正常报告误标记问题影响使用体验，复测工作需要科室配合推进。</w:t>
      </w:r>
    </w:p>
    <w:p w14:paraId="6F62C52E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四是高峰时段告警集中。检查高峰时段接口超时与响应缓慢告警占比近八成，影响阅片与报告效率。</w:t>
      </w:r>
    </w:p>
    <w:p w14:paraId="7D7D727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（二）下一步工作建议</w:t>
      </w:r>
    </w:p>
    <w:p w14:paraId="19DAA32E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一是跟进异常恢复。督促供应商完成影像随访提醒助手升级恢复，恢复后核对异常期间随访任务补推情况，确保随访不遗漏。</w:t>
      </w:r>
    </w:p>
    <w:p w14:paraId="1F4E1F7E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二是提升低频智能体使用率。针对MRI预约排程、影像随访提醒等低频智能体，组织科内使用培训，排查功能与流程适配问题，确无使用价值的可向平台申请调整或退出。</w:t>
      </w:r>
    </w:p>
    <w:p w14:paraId="3AD0D2A1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三是配合完成整改复测。按计划于8月前完成影像质控助手复测，科室提供典型报告样本并安排质控医师参与结果确认。</w:t>
      </w:r>
    </w:p>
    <w:p w14:paraId="452C9EDB">
      <w:pPr>
        <w:ind w:firstLine="4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四是规范使用与反馈。落实高度关注类智能体逐例复核制度，科研批量调用提前申请专用通道；持续通过平台反馈问题，推动供应商迭代优化。</w:t>
      </w:r>
    </w:p>
    <w:p w14:paraId="113FA13C">
      <w:pPr>
        <w:jc w:val="righ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智能体管理平台自动生成</w:t>
      </w:r>
    </w:p>
    <w:p w14:paraId="6F2AE0C1">
      <w:pPr>
        <w:jc w:val="righ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4"/>
        </w:rPr>
        <w:t>2026年7月×日</w:t>
      </w:r>
    </w:p>
    <w:p w14:paraId="1D919C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820D9F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附：编制说明</w:t>
      </w:r>
    </w:p>
    <w:p w14:paraId="2CA2A86F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2"/>
        </w:rPr>
        <w:t>本报告由智能体管理平台基于台账聚合数据按科室自动生成，统计范围为归属或使用科室为本科室的智能体，统计周期见封面。</w:t>
      </w:r>
    </w:p>
    <w:p w14:paraId="346E720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2"/>
        </w:rPr>
        <w:t>各模块图表由系统按实时数据自动生成，本模板内全部科室、数据与图表均为示例；涉及全院对比的指标，基准值为同期全院平均水平。</w:t>
      </w:r>
    </w:p>
    <w:p w14:paraId="1D81C719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i w:val="0"/>
          <w:sz w:val="22"/>
        </w:rPr>
        <w:t>各模块文字综述由智能助手自动生成初稿，科室管理员可在平台编辑页在线调整。</w:t>
      </w:r>
    </w:p>
    <w:sectPr>
      <w:headerReference r:id="rId5" w:type="default"/>
      <w:footerReference r:id="rId6" w:type="default"/>
      <w:pgSz w:w="11906" w:h="16838"/>
      <w:pgMar w:top="1361" w:right="1474" w:bottom="1361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FE7B1">
    <w:pPr>
      <w:pStyle w:val="24"/>
      <w:jc w:val="center"/>
    </w:pPr>
    <w:r>
      <w:rPr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7378C">
    <w:pPr>
      <w:pStyle w:val="25"/>
      <w:jc w:val="center"/>
    </w:pPr>
    <w:r>
      <w:rPr>
        <w:rFonts w:ascii="Times New Roman" w:hAnsi="Times New Roman" w:eastAsia="宋体"/>
        <w:color w:val="595959"/>
        <w:sz w:val="18"/>
      </w:rPr>
      <w:t>科室智能体运行情况报告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E50EC2"/>
    <w:rsid w:val="40830250"/>
    <w:rsid w:val="75E7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3595</Words>
  <Characters>3897</Characters>
  <Lines>0</Lines>
  <Paragraphs>0</Paragraphs>
  <TotalTime>2</TotalTime>
  <ScaleCrop>false</ScaleCrop>
  <LinksUpToDate>false</LinksUpToDate>
  <CharactersWithSpaces>3915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熊莹</cp:lastModifiedBy>
  <dcterms:modified xsi:type="dcterms:W3CDTF">2026-07-05T06:55:12Z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680AB6A2C6BB4068A60CE16322CF4875_13</vt:lpwstr>
  </property>
  <property fmtid="{D5CDD505-2E9C-101B-9397-08002B2CF9AE}" pid="4" name="KSOTemplateDocerSaveRecord">
    <vt:lpwstr>eyJoZGlkIjoiMGU1MzIwNjNmYmYxOGZiYjQ2NjEzZjU2OWE3ZWQ3ZWYiLCJ1c2VySWQiOiI2MTgzNjcyODgifQ==</vt:lpwstr>
  </property>
</Properties>
</file>