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EABD2">
      <w:pPr>
        <w:pStyle w:val="2"/>
        <w:keepNext w:val="0"/>
        <w:keepLines w:val="0"/>
        <w:widowControl/>
        <w:suppressLineNumbers w:val="0"/>
      </w:pPr>
      <w:r>
        <w:t>3.2 建立数据监测平台（供应链、数据链、监测平台）</w:t>
      </w:r>
    </w:p>
    <w:p w14:paraId="545F0E01">
      <w:pPr>
        <w:pStyle w:val="2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在“Green Life”分级监管体系基础上，ABC时尚应建立供应链ESG数据监测平台，将传统依赖人工验厂、邮件填报和年度汇总的供应商管理方式，升级为“实时采集、动态分析、风险预警、自动披露”的数字化管理机制。平台的核心目标是整合供应商、采购部门、验厂机构、第三方认证机构和外部风险数据库中的信息，形成可追踪、可验证、可披露的供应链ESG数据库</w:t>
      </w:r>
    </w:p>
    <w:p w14:paraId="2436C4FB">
      <w:pPr>
        <w:pStyle w:val="3"/>
        <w:keepNext w:val="0"/>
        <w:keepLines w:val="0"/>
        <w:widowControl/>
        <w:suppressLineNumbers w:val="0"/>
      </w:pPr>
      <w:r>
        <w:t>3.2.1 平台总体架构</w:t>
      </w:r>
    </w:p>
    <w:p w14:paraId="79703A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平台可按照“供应链层—数据链层—监测平台层—披露输出层”四个层级建设。</w:t>
      </w:r>
    </w:p>
    <w:p w14:paraId="41D09FE7">
      <w:pPr>
        <w:pStyle w:val="6"/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44"/>
        <w:gridCol w:w="4176"/>
        <w:gridCol w:w="3386"/>
      </w:tblGrid>
      <w:tr w14:paraId="151C43B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749EA30">
            <w:pPr>
              <w:pStyle w:val="6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38C831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主要内容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CBB836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作用</w:t>
            </w:r>
          </w:p>
        </w:tc>
      </w:tr>
      <w:tr w14:paraId="76192D0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8F1FE29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供应链层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F354882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覆盖</w:t>
            </w:r>
            <w:r>
              <w:rPr>
                <w:rStyle w:val="8"/>
                <w:bdr w:val="none" w:color="auto" w:sz="0" w:space="0"/>
              </w:rPr>
              <w:t>Tier 1</w:t>
            </w:r>
            <w:r>
              <w:rPr>
                <w:bdr w:val="none" w:color="auto" w:sz="0" w:space="0"/>
              </w:rPr>
              <w:t>成衣制造、</w:t>
            </w:r>
            <w:r>
              <w:rPr>
                <w:rStyle w:val="8"/>
                <w:bdr w:val="none" w:color="auto" w:sz="0" w:space="0"/>
              </w:rPr>
              <w:t>Tier 2</w:t>
            </w:r>
            <w:r>
              <w:rPr>
                <w:bdr w:val="none" w:color="auto" w:sz="0" w:space="0"/>
              </w:rPr>
              <w:t>面料染整、</w:t>
            </w:r>
            <w:r>
              <w:rPr>
                <w:rStyle w:val="8"/>
                <w:bdr w:val="none" w:color="auto" w:sz="0" w:space="0"/>
              </w:rPr>
              <w:t>Tier 3</w:t>
            </w:r>
            <w:r>
              <w:rPr>
                <w:bdr w:val="none" w:color="auto" w:sz="0" w:space="0"/>
              </w:rPr>
              <w:t>原材料及物流仓储环节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2619613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明确重点监测对象，识别高排放、高耗水、高风险环节</w:t>
            </w:r>
          </w:p>
        </w:tc>
      </w:tr>
      <w:tr w14:paraId="75DF384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1ADFFFE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数据链层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1BE7376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采集碳排放、能源、水耗、化学品、验厂、采购及外部风险数据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99179F3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建立统一数据口径，支撑供应商评级和披露</w:t>
            </w:r>
          </w:p>
        </w:tc>
      </w:tr>
      <w:tr w14:paraId="1518B3B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910893A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监测平台层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CA7F00E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建设碳排放仪表盘、环境绩效看板、风险热力图、整改追踪模块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3944979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实现实时监测、异常识别和风险预警</w:t>
            </w:r>
          </w:p>
        </w:tc>
      </w:tr>
      <w:tr w14:paraId="16ED85D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8C16B82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披露输出层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386DAAD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自动汇总</w:t>
            </w:r>
            <w:r>
              <w:rPr>
                <w:rStyle w:val="8"/>
                <w:bdr w:val="none" w:color="auto" w:sz="0" w:space="0"/>
              </w:rPr>
              <w:t>ESG</w:t>
            </w:r>
            <w:r>
              <w:rPr>
                <w:bdr w:val="none" w:color="auto" w:sz="0" w:space="0"/>
              </w:rPr>
              <w:t>报告、投资者沟通、消费者标签和采购决策所需数据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74518EB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将内部管理数据转化为外部披露依据</w:t>
            </w:r>
          </w:p>
        </w:tc>
      </w:tr>
    </w:tbl>
    <w:p w14:paraId="2CF96984">
      <w:pPr>
        <w:pStyle w:val="3"/>
        <w:keepNext w:val="0"/>
        <w:keepLines w:val="0"/>
        <w:widowControl/>
        <w:suppressLineNumbers w:val="0"/>
      </w:pPr>
      <w:r>
        <w:t>3.2.2 平台核心功能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9"/>
        <w:gridCol w:w="5006"/>
        <w:gridCol w:w="2051"/>
      </w:tblGrid>
      <w:tr w14:paraId="05444C39"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08E47C8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6C8935A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功能说明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7848DD5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输出结果</w:t>
            </w:r>
          </w:p>
        </w:tc>
      </w:tr>
      <w:tr w14:paraId="5EE6E077">
        <w:trPr>
          <w:trHeight w:val="92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6DBF482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供应商ESG档案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1EAFDD7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为每家供应商建立“一企一档”，记录认证、评级、整改和历史表现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1A250D5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供应商ESG画像</w:t>
            </w:r>
          </w:p>
        </w:tc>
      </w:tr>
      <w:tr w14:paraId="53213FF5">
        <w:trPr>
          <w:trHeight w:val="92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71CD6EB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碳排放仪表盘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7CABDEC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展示供应商Scope 1、Scope 2排放及供应链Scope 3估算数据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5B0A649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碳排放趋势图、碳强度排名</w:t>
            </w:r>
          </w:p>
        </w:tc>
      </w:tr>
      <w:tr w14:paraId="0FA4A305">
        <w:trPr>
          <w:trHeight w:val="92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524E9EE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环境绩效看板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415CAB1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跟踪能耗、水耗、废水、废弃物、化学品等数据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40BEDA1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高耗能、高耗水供应商清单</w:t>
            </w:r>
          </w:p>
        </w:tc>
      </w:tr>
      <w:tr w14:paraId="072E1757">
        <w:trPr>
          <w:trHeight w:val="92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43AAFE5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风险热力图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36E3793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根据ESG评级、环保处罚、财务和舆情风险形成红黄绿评级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1754AC7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高风险供应商预警名单</w:t>
            </w:r>
          </w:p>
        </w:tc>
      </w:tr>
      <w:tr w14:paraId="337C3E4E"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07818AB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CAP整改追踪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599FEE8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跟踪整改计划提交、执行、验证和关闭情况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40BF6E3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整改完成率、逾期整改清单</w:t>
            </w:r>
          </w:p>
        </w:tc>
      </w:tr>
      <w:tr w14:paraId="557F6C87">
        <w:trPr>
          <w:trHeight w:val="54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18E965C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披露输出模块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005558A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自动汇总年度ESG报告所需指标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0A7D09C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ESG披露数据包</w:t>
            </w:r>
          </w:p>
        </w:tc>
      </w:tr>
    </w:tbl>
    <w:p w14:paraId="33ECCFB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DF14DEA"/>
    <w:rsid w:val="EFBE139E"/>
    <w:rsid w:val="FB9FB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center"/>
    </w:pPr>
    <w:rPr>
      <w:rFonts w:ascii="helvetica" w:hAnsi="helvetica" w:eastAsia="helvetica" w:cs="helvetica"/>
      <w:kern w:val="0"/>
      <w:sz w:val="26"/>
      <w:szCs w:val="26"/>
      <w:lang w:val="en-US" w:eastAsia="zh-CN" w:bidi="ar"/>
    </w:rPr>
  </w:style>
  <w:style w:type="paragraph" w:customStyle="1" w:styleId="7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character" w:customStyle="1" w:styleId="8">
    <w:name w:val="s1"/>
    <w:basedOn w:val="5"/>
    <w:uiPriority w:val="0"/>
    <w:rPr>
      <w:rFonts w:ascii="Helvetica Neue" w:hAnsi="Helvetica Neue" w:eastAsia="Helvetica Neue" w:cs="Helvetica Neue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欧阳月粼</cp:lastModifiedBy>
  <dcterms:modified xsi:type="dcterms:W3CDTF">2026-06-06T17:12:33Z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7CD85D9BC3C439ECFE828868C9F27BF0_41</vt:lpwstr>
  </property>
</Properties>
</file>