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Query-Aware Adaptive Hybrid Retrieval Fusion: A Pre-Retrieval Approach for BM25 and Dense Retrieval Combination</w:t>
      </w:r>
    </w:p>
    <w:p>
      <w:r>
        <w:rPr>
          <w:rFonts w:ascii="黑体" w:hAnsi="黑体" w:eastAsia="黑体"/>
          <w:b/>
          <w:sz w:val="28"/>
        </w:rPr>
        <w:t>摘要</w:t>
      </w:r>
    </w:p>
    <w:p>
      <w:r>
        <w:rPr>
          <w:rFonts w:ascii="宋体" w:hAnsi="宋体" w:eastAsia="宋体"/>
        </w:rPr>
        <w:t xml:space="preserve">混合检索系统结合稀疏检索（BM25）和密集向量检索，在现代搜索引擎中被广泛采用。然而，现有系统通常使用固定权重融合两种检索结果，无法根据查询特性自适应调整。本文提出 </w:t>
      </w:r>
      <w:r>
        <w:rPr>
          <w:rFonts w:ascii="宋体" w:hAnsi="宋体" w:eastAsia="宋体"/>
          <w:b/>
        </w:rPr>
        <w:t>Query-Aware Adaptive Hybrid Retrieval Fusion (QAHF)</w:t>
      </w:r>
      <w:r>
        <w:rPr>
          <w:rFonts w:ascii="宋体" w:hAnsi="宋体" w:eastAsia="宋体"/>
        </w:rPr>
        <w:t>，一种基于预检索查询特征的自适应权重预测方法。QAHF 在执行检索前提取查询特征，通过轻量级神经网络预测最优融合权重，实现零额外检索延迟的自适应融合。在 BEIR 基准的三个数据集（FIQA、NFCorpus、SciFact）上的实验表明，QAHF 相比固定权重基线提升 MRR@10 高达 6.3%，且可直接集成到 OpenSearch/ElasticSearch 等搜索引擎中。</w:t>
      </w:r>
    </w:p>
    <w:p>
      <w:r>
        <w:rPr>
          <w:rFonts w:ascii="宋体" w:hAnsi="宋体" w:eastAsia="宋体"/>
          <w:b/>
        </w:rPr>
        <w:t>关键词</w:t>
      </w:r>
      <w:r>
        <w:rPr>
          <w:rFonts w:ascii="宋体" w:hAnsi="宋体" w:eastAsia="宋体"/>
        </w:rPr>
        <w:t>：混合检索、查询感知、自适应融合、预检索特征、向量搜索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1. 引言</w:t>
      </w:r>
    </w:p>
    <w:p>
      <w:r>
        <w:rPr>
          <w:rFonts w:ascii="黑体" w:hAnsi="黑体" w:eastAsia="黑体"/>
          <w:b/>
          <w:sz w:val="24"/>
        </w:rPr>
        <w:t>1.1 研究背景</w:t>
      </w:r>
    </w:p>
    <w:p>
      <w:r>
        <w:rPr>
          <w:rFonts w:ascii="宋体" w:hAnsi="宋体" w:eastAsia="宋体"/>
        </w:rPr>
        <w:t>现代搜索引擎广泛采用混合检索策略，结合 BM25 的精确匹配能力和密集向量检索的语义理解能力。这种组合能够同时处理关键词查询和语义查询，在多种场景下取得优于单一检索方法的效果。</w:t>
      </w:r>
    </w:p>
    <w:p>
      <w:r>
        <w:rPr>
          <w:rFonts w:ascii="宋体" w:hAnsi="宋体" w:eastAsia="宋体"/>
        </w:rPr>
        <w:t>然而，现有的混合检索系统存在一个关键问题：</w:t>
      </w:r>
      <w:r>
        <w:rPr>
          <w:rFonts w:ascii="宋体" w:hAnsi="宋体" w:eastAsia="宋体"/>
          <w:b/>
        </w:rPr>
        <w:t>固定权重融合</w:t>
      </w:r>
      <w:r>
        <w:rPr>
          <w:rFonts w:ascii="宋体" w:hAnsi="宋体" w:eastAsia="宋体"/>
        </w:rPr>
        <w:t>。无论是简单的线性组合还是 Reciprocal Rank Fusion (RRF)，都采用固定的融合策略，无法根据查询的具体特性进行调整。这导致：</w:t>
      </w:r>
    </w:p>
    <w:p>
      <w:pPr>
        <w:pStyle w:val="ListBullet"/>
      </w:pPr>
      <w:r>
        <w:rPr>
          <w:rFonts w:ascii="宋体" w:hAnsi="宋体" w:eastAsia="宋体"/>
        </w:rPr>
        <w:t>关键词型查询（如"iPhone 15 Pro Max 价格"）可能被过度稀释语义信息</w:t>
      </w:r>
    </w:p>
    <w:p>
      <w:pPr>
        <w:pStyle w:val="ListBullet"/>
      </w:pPr>
      <w:r>
        <w:rPr>
          <w:rFonts w:ascii="宋体" w:hAnsi="宋体" w:eastAsia="宋体"/>
        </w:rPr>
        <w:t>语义型查询（如"如何提高睡眠质量"）可能被噪声关键词干扰</w:t>
      </w:r>
    </w:p>
    <w:p>
      <w:pPr>
        <w:pStyle w:val="ListBullet"/>
      </w:pPr>
      <w:r>
        <w:rPr>
          <w:rFonts w:ascii="宋体" w:hAnsi="宋体" w:eastAsia="宋体"/>
        </w:rPr>
        <w:t>混合型查询可能无法获得最优的平衡点</w:t>
      </w:r>
    </w:p>
    <w:p>
      <w:r>
        <w:rPr>
          <w:rFonts w:ascii="黑体" w:hAnsi="黑体" w:eastAsia="黑体"/>
          <w:b/>
          <w:sz w:val="24"/>
        </w:rPr>
        <w:t>1.2 研究动机</w:t>
      </w:r>
    </w:p>
    <w:p>
      <w:r>
        <w:rPr>
          <w:rFonts w:ascii="宋体" w:hAnsi="宋体" w:eastAsia="宋体"/>
        </w:rPr>
        <w:t>现有解决方案主要分为两类：</w:t>
      </w:r>
    </w:p>
    <w:p>
      <w:r>
        <w:rPr>
          <w:rFonts w:ascii="宋体" w:hAnsi="宋体" w:eastAsia="宋体"/>
          <w:b/>
        </w:rPr>
        <w:t>检索后方法</w:t>
      </w:r>
      <w:r>
        <w:rPr>
          <w:rFonts w:ascii="宋体" w:hAnsi="宋体" w:eastAsia="宋体"/>
        </w:rPr>
        <w:t>：在获取两种检索结果后，使用元学习器或重排序模型进行融合。代表性工作包括：</w:t>
      </w:r>
    </w:p>
    <w:p>
      <w:pPr>
        <w:pStyle w:val="ListBullet"/>
      </w:pPr>
      <w:r>
        <w:rPr>
          <w:rFonts w:ascii="宋体" w:hAnsi="宋体" w:eastAsia="宋体"/>
        </w:rPr>
        <w:t>[19] 提出使用公理特征选择检索方法</w:t>
      </w:r>
    </w:p>
    <w:p>
      <w:pPr>
        <w:pStyle w:val="ListBullet"/>
      </w:pPr>
      <w:r>
        <w:rPr>
          <w:rFonts w:ascii="宋体" w:hAnsi="宋体" w:eastAsia="宋体"/>
        </w:rPr>
        <w:t>[8] 使用 MoE 框架组合多个检索器</w:t>
      </w:r>
    </w:p>
    <w:p>
      <w:r>
        <w:rPr>
          <w:rFonts w:ascii="宋体" w:hAnsi="宋体" w:eastAsia="宋体"/>
        </w:rPr>
        <w:t>然而，这类方法需要先执行完整检索，增加了延迟。</w:t>
      </w:r>
    </w:p>
    <w:p>
      <w:r>
        <w:rPr>
          <w:rFonts w:ascii="宋体" w:hAnsi="宋体" w:eastAsia="宋体"/>
          <w:b/>
        </w:rPr>
        <w:t>检索前方法</w:t>
      </w:r>
      <w:r>
        <w:rPr>
          <w:rFonts w:ascii="宋体" w:hAnsi="宋体" w:eastAsia="宋体"/>
        </w:rPr>
        <w:t>：在检索前预测查询类型，调整检索策略。代表性工作包括：</w:t>
      </w:r>
    </w:p>
    <w:p>
      <w:pPr>
        <w:pStyle w:val="ListBullet"/>
      </w:pPr>
      <w:r>
        <w:rPr>
          <w:rFonts w:ascii="宋体" w:hAnsi="宋体" w:eastAsia="宋体"/>
        </w:rPr>
        <w:t>[23] 使用预检索特征预测是否启用个性化</w:t>
      </w:r>
    </w:p>
    <w:p>
      <w:r>
        <w:rPr>
          <w:rFonts w:ascii="宋体" w:hAnsi="宋体" w:eastAsia="宋体"/>
        </w:rPr>
        <w:t>但现有工作尚未将预检索预测应用于混合检索权重调整。</w:t>
      </w:r>
    </w:p>
    <w:p>
      <w:r>
        <w:rPr>
          <w:rFonts w:ascii="黑体" w:hAnsi="黑体" w:eastAsia="黑体"/>
          <w:b/>
          <w:sz w:val="24"/>
        </w:rPr>
        <w:t>1.3 研究贡献</w:t>
      </w:r>
    </w:p>
    <w:p>
      <w:r>
        <w:rPr>
          <w:rFonts w:ascii="宋体" w:hAnsi="宋体" w:eastAsia="宋体"/>
        </w:rPr>
        <w:t xml:space="preserve">本文提出 </w:t>
      </w:r>
      <w:r>
        <w:rPr>
          <w:rFonts w:ascii="宋体" w:hAnsi="宋体" w:eastAsia="宋体"/>
          <w:b/>
        </w:rPr>
        <w:t>QAHF (Query-Aware Adaptive Hybrid Retrieval Fusion)</w:t>
      </w:r>
      <w:r>
        <w:rPr>
          <w:rFonts w:ascii="宋体" w:hAnsi="宋体" w:eastAsia="宋体"/>
        </w:rPr>
        <w:t>，首次将预检索预测应用于混合检索权重调整。主要贡献如下：</w:t>
      </w:r>
    </w:p>
    <w:p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>提出预检索权重预测框架</w:t>
      </w:r>
      <w:r>
        <w:rPr>
          <w:rFonts w:ascii="宋体" w:hAnsi="宋体" w:eastAsia="宋体"/>
        </w:rPr>
        <w:t>：在检索执行前预测融合权重，零额外检索延迟</w:t>
      </w:r>
    </w:p>
    <w:p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>设计轻量级特征提取方法</w:t>
      </w:r>
      <w:r>
        <w:rPr>
          <w:rFonts w:ascii="宋体" w:hAnsi="宋体" w:eastAsia="宋体"/>
        </w:rPr>
        <w:t>：12维查询特征，计算开销极小</w:t>
      </w:r>
    </w:p>
    <w:p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>在 BEIR 基准上验证有效性</w:t>
      </w:r>
      <w:r>
        <w:rPr>
          <w:rFonts w:ascii="宋体" w:hAnsi="宋体" w:eastAsia="宋体"/>
        </w:rPr>
        <w:t>：在 FIQA、NFCorpus、SciFact 数据集上取得显著提升</w:t>
      </w:r>
    </w:p>
    <w:p>
      <w:r>
        <w:rPr>
          <w:rFonts w:ascii="宋体" w:hAnsi="宋体" w:eastAsia="宋体"/>
        </w:rPr>
        <w:t xml:space="preserve">4. </w:t>
      </w:r>
      <w:r>
        <w:rPr>
          <w:rFonts w:ascii="宋体" w:hAnsi="宋体" w:eastAsia="宋体"/>
          <w:b/>
        </w:rPr>
        <w:t>提供工程落地方案</w:t>
      </w:r>
      <w:r>
        <w:rPr>
          <w:rFonts w:ascii="宋体" w:hAnsi="宋体" w:eastAsia="宋体"/>
        </w:rPr>
        <w:t>：可直接集成到 OpenSearch/ElasticSearch 架构中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2. 相关工作</w:t>
      </w:r>
    </w:p>
    <w:p>
      <w:r>
        <w:rPr>
          <w:rFonts w:ascii="黑体" w:hAnsi="黑体" w:eastAsia="黑体"/>
          <w:b/>
          <w:sz w:val="24"/>
        </w:rPr>
        <w:t>2.1 混合检索方法</w:t>
      </w:r>
    </w:p>
    <w:p>
      <w:r>
        <w:rPr>
          <w:rFonts w:ascii="宋体" w:hAnsi="宋体" w:eastAsia="宋体"/>
        </w:rPr>
        <w:t>混合检索的核心问题是如何组合稀疏检索和密集检索的结果。主要方法包括：</w:t>
      </w:r>
    </w:p>
    <w:p>
      <w:r>
        <w:rPr>
          <w:rFonts w:ascii="宋体" w:hAnsi="宋体" w:eastAsia="宋体"/>
          <w:b/>
        </w:rPr>
        <w:t>线性组合</w:t>
      </w:r>
      <w:r>
        <w:rPr>
          <w:rFonts w:ascii="宋体" w:hAnsi="宋体" w:eastAsia="宋体"/>
        </w:rPr>
        <w:t>：</w:t>
      </w:r>
    </w:p>
    <w:p>
      <w:pPr>
        <w:jc w:val="center"/>
      </w:pPr>
      <w:r>
        <w:rPr>
          <w:rFonts w:ascii="Cambria Math" w:hAnsi="Cambria Math" w:eastAsia="Cambria Math"/>
          <w:i/>
          <w:sz w:val="22"/>
        </w:rPr>
        <w:t>score_(hybrid) = α · score_(BM25) + (1-α) · score_(dense)  其中 $α$ 为预设常数，通常取 0.5 或通过验证集调优。  **Reciprocal Rank Fusion (RRF)** [7]： score_(RRF)(d) = ∑_(r ∈ R) (1)(k + rank_r(d))</w:t>
      </w:r>
    </w:p>
    <w:p>
      <w:r>
        <w:rPr>
          <w:rFonts w:ascii="宋体" w:hAnsi="宋体" w:eastAsia="宋体"/>
        </w:rPr>
        <w:t>其中 k 为常数（通常取 60），R 为检索结果集合。</w:t>
      </w:r>
    </w:p>
    <w:p>
      <w:r>
        <w:rPr>
          <w:rFonts w:ascii="宋体" w:hAnsi="宋体" w:eastAsia="宋体"/>
          <w:b/>
        </w:rPr>
        <w:t>局限性</w:t>
      </w:r>
      <w:r>
        <w:rPr>
          <w:rFonts w:ascii="宋体" w:hAnsi="宋体" w:eastAsia="宋体"/>
        </w:rPr>
        <w:t>：以上方法均使用固定参数，无法根据查询自适应调整。</w:t>
      </w:r>
    </w:p>
    <w:p>
      <w:r>
        <w:rPr>
          <w:rFonts w:ascii="黑体" w:hAnsi="黑体" w:eastAsia="黑体"/>
          <w:b/>
          <w:sz w:val="24"/>
        </w:rPr>
        <w:t>2.2 自适应检索</w:t>
      </w:r>
    </w:p>
    <w:p>
      <w:r>
        <w:rPr>
          <w:rFonts w:ascii="宋体" w:hAnsi="宋体" w:eastAsia="宋体"/>
          <w:b/>
        </w:rPr>
        <w:t>检索后自适应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[19] 提出基于公理特征的检索方法选择，需要先获取检索结果</w:t>
      </w:r>
    </w:p>
    <w:p>
      <w:pPr>
        <w:pStyle w:val="ListBullet"/>
      </w:pPr>
      <w:r>
        <w:rPr>
          <w:rFonts w:ascii="宋体" w:hAnsi="宋体" w:eastAsia="宋体"/>
        </w:rPr>
        <w:t>[8] 提出 DESIRE-ME，使用 MoE 框架组合多个检索模型，模型复杂度高</w:t>
      </w:r>
    </w:p>
    <w:p>
      <w:r>
        <w:rPr>
          <w:rFonts w:ascii="宋体" w:hAnsi="宋体" w:eastAsia="宋体"/>
          <w:b/>
        </w:rPr>
        <w:t>检索前自适应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[23] 提出预检索特征预测是否启用个性化检索</w:t>
      </w:r>
    </w:p>
    <w:p>
      <w:pPr>
        <w:pStyle w:val="ListBullet"/>
      </w:pPr>
      <w:r>
        <w:rPr>
          <w:rFonts w:ascii="宋体" w:hAnsi="宋体" w:eastAsia="宋体"/>
        </w:rPr>
        <w:t>但未应用于混合检索权重调整</w:t>
      </w:r>
    </w:p>
    <w:p>
      <w:r>
        <w:rPr>
          <w:rFonts w:ascii="黑体" w:hAnsi="黑体" w:eastAsia="黑体"/>
          <w:b/>
          <w:sz w:val="24"/>
        </w:rPr>
        <w:t>2.3 预检索查询分析</w:t>
      </w:r>
    </w:p>
    <w:p>
      <w:r>
        <w:rPr>
          <w:rFonts w:ascii="宋体" w:hAnsi="宋体" w:eastAsia="宋体"/>
        </w:rPr>
        <w:t>预检索查询分析通过提取查询特征，在检索执行前进行决策。常用特征包括：</w:t>
      </w:r>
    </w:p>
    <w:p>
      <w:pPr>
        <w:pStyle w:val="ListBullet"/>
      </w:pPr>
      <w:r>
        <w:rPr>
          <w:rFonts w:ascii="宋体" w:hAnsi="宋体" w:eastAsia="宋体"/>
          <w:b/>
        </w:rPr>
        <w:t>统计特征</w:t>
      </w:r>
      <w:r>
        <w:rPr>
          <w:rFonts w:ascii="宋体" w:hAnsi="宋体" w:eastAsia="宋体"/>
        </w:rPr>
        <w:t>：查询长度、词数、平均词长</w:t>
      </w:r>
    </w:p>
    <w:p>
      <w:pPr>
        <w:pStyle w:val="ListBullet"/>
      </w:pPr>
      <w:r>
        <w:rPr>
          <w:rFonts w:ascii="宋体" w:hAnsi="宋体" w:eastAsia="宋体"/>
          <w:b/>
        </w:rPr>
        <w:t>语义特征</w:t>
      </w:r>
      <w:r>
        <w:rPr>
          <w:rFonts w:ascii="宋体" w:hAnsi="宋体" w:eastAsia="宋体"/>
        </w:rPr>
        <w:t>：实体密度、词汇多样性</w:t>
      </w:r>
    </w:p>
    <w:p>
      <w:pPr>
        <w:pStyle w:val="ListBullet"/>
      </w:pPr>
      <w:r>
        <w:rPr>
          <w:rFonts w:ascii="宋体" w:hAnsi="宋体" w:eastAsia="宋体"/>
          <w:b/>
        </w:rPr>
        <w:t>结构特征</w:t>
      </w:r>
      <w:r>
        <w:rPr>
          <w:rFonts w:ascii="宋体" w:hAnsi="宋体" w:eastAsia="宋体"/>
        </w:rPr>
        <w:t>：是否包含引号、特殊符号</w:t>
      </w:r>
    </w:p>
    <w:p>
      <w:r>
        <w:rPr>
          <w:rFonts w:ascii="宋体" w:hAnsi="宋体" w:eastAsia="宋体"/>
        </w:rPr>
        <w:t>这些特征已被应用于查询难度预测、索引选择等任务 [10, 15]。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3. 方法</w:t>
      </w:r>
    </w:p>
    <w:p>
      <w:r>
        <w:rPr>
          <w:rFonts w:ascii="黑体" w:hAnsi="黑体" w:eastAsia="黑体"/>
          <w:b/>
          <w:sz w:val="24"/>
        </w:rPr>
        <w:t>3.1 问题定义</w:t>
      </w:r>
    </w:p>
    <w:p>
      <w:r>
        <w:rPr>
          <w:rFonts w:ascii="宋体" w:hAnsi="宋体" w:eastAsia="宋体"/>
        </w:rPr>
        <w:t>给定查询 q，混合检索的目标是计算文档 d 的最终相关分数：</w:t>
      </w:r>
    </w:p>
    <w:p>
      <w:pPr>
        <w:jc w:val="center"/>
      </w:pPr>
      <w:r>
        <w:rPr>
          <w:rFonts w:ascii="Cambria Math" w:hAnsi="Cambria Math" w:eastAsia="Cambria Math"/>
          <w:i/>
          <w:sz w:val="22"/>
        </w:rPr>
        <w:t>score_(final)(q, d) = f(q, score_(BM25)(q, d), score_(dense)(q, d))  传统方法使用固定函数 $f$，本文提出学习函数 $f_q$，使其能够根据查询特性动态调整。  ### 3.2 QAHF 框架  QAHF 的核心思想是在检索执行前预测最优融合权重 $α(q)$：  score_(final)(q, d) = α(q) · score_(BM25)(q, d) + (1-α(q)) · score_(dense)(q, d)</w:t>
      </w:r>
    </w:p>
    <w:p>
      <w:r>
        <w:rPr>
          <w:rFonts w:ascii="宋体" w:hAnsi="宋体" w:eastAsia="宋体"/>
        </w:rPr>
        <w:t>框架包含三个模块：</w:t>
      </w:r>
    </w:p>
    <w:p>
      <w:r>
        <w:rPr>
          <w:rFonts w:ascii="楷体" w:hAnsi="楷体" w:eastAsia="楷体"/>
          <w:b/>
          <w:sz w:val="24"/>
        </w:rPr>
        <w:t>3.2.1 查询特征提取</w:t>
      </w:r>
    </w:p>
    <w:p>
      <w:r>
        <w:rPr>
          <w:rFonts w:ascii="宋体" w:hAnsi="宋体" w:eastAsia="宋体"/>
        </w:rPr>
        <w:t>提取 12 维查询特征，分为三类：</w:t>
      </w:r>
    </w:p>
    <w:p>
      <w:r>
        <w:rPr>
          <w:rFonts w:ascii="宋体" w:hAnsi="宋体" w:eastAsia="宋体"/>
          <w:b/>
        </w:rPr>
        <w:t>词汇特征（5维）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查询长度（字符数）</w:t>
      </w:r>
    </w:p>
    <w:p>
      <w:pPr>
        <w:pStyle w:val="ListBullet"/>
      </w:pPr>
      <w:r>
        <w:rPr>
          <w:rFonts w:ascii="宋体" w:hAnsi="宋体" w:eastAsia="宋体"/>
        </w:rPr>
        <w:t>词数</w:t>
      </w:r>
    </w:p>
    <w:p>
      <w:pPr>
        <w:pStyle w:val="ListBullet"/>
      </w:pPr>
      <w:r>
        <w:rPr>
          <w:rFonts w:ascii="宋体" w:hAnsi="宋体" w:eastAsia="宋体"/>
        </w:rPr>
        <w:t>平均词长</w:t>
      </w:r>
    </w:p>
    <w:p>
      <w:pPr>
        <w:pStyle w:val="ListBullet"/>
      </w:pPr>
      <w:r>
        <w:rPr>
          <w:rFonts w:ascii="宋体" w:hAnsi="宋体" w:eastAsia="宋体"/>
        </w:rPr>
        <w:t>词汇多样性（唯一词比例）</w:t>
      </w:r>
    </w:p>
    <w:p>
      <w:pPr>
        <w:pStyle w:val="ListBullet"/>
      </w:pPr>
      <w:r>
        <w:rPr>
          <w:rFonts w:ascii="宋体" w:hAnsi="宋体" w:eastAsia="宋体"/>
        </w:rPr>
        <w:t>停用词比例</w:t>
      </w:r>
    </w:p>
    <w:p>
      <w:r>
        <w:rPr>
          <w:rFonts w:ascii="宋体" w:hAnsi="宋体" w:eastAsia="宋体"/>
          <w:b/>
        </w:rPr>
        <w:t>语义特征（4维）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词汇重叠度预测（与语料库高频词的重叠）</w:t>
      </w:r>
    </w:p>
    <w:p>
      <w:pPr>
        <w:pStyle w:val="ListBullet"/>
      </w:pPr>
      <w:r>
        <w:rPr>
          <w:rFonts w:ascii="宋体" w:hAnsi="宋体" w:eastAsia="宋体"/>
        </w:rPr>
        <w:t>实体密度估计</w:t>
      </w:r>
    </w:p>
    <w:p>
      <w:pPr>
        <w:pStyle w:val="ListBullet"/>
      </w:pPr>
      <w:r>
        <w:rPr>
          <w:rFonts w:ascii="宋体" w:hAnsi="宋体" w:eastAsia="宋体"/>
        </w:rPr>
        <w:t>查询嵌入范数</w:t>
      </w:r>
    </w:p>
    <w:p>
      <w:pPr>
        <w:pStyle w:val="ListBullet"/>
      </w:pPr>
      <w:r>
        <w:rPr>
          <w:rFonts w:ascii="宋体" w:hAnsi="宋体" w:eastAsia="宋体"/>
        </w:rPr>
        <w:t>查询嵌入方差</w:t>
      </w:r>
    </w:p>
    <w:p>
      <w:r>
        <w:rPr>
          <w:rFonts w:ascii="宋体" w:hAnsi="宋体" w:eastAsia="宋体"/>
          <w:b/>
        </w:rPr>
        <w:t>结构特征（3维）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是否包含引号</w:t>
      </w:r>
    </w:p>
    <w:p>
      <w:pPr>
        <w:pStyle w:val="ListBullet"/>
      </w:pPr>
      <w:r>
        <w:rPr>
          <w:rFonts w:ascii="宋体" w:hAnsi="宋体" w:eastAsia="宋体"/>
        </w:rPr>
        <w:t>是否包含数字</w:t>
      </w:r>
    </w:p>
    <w:p>
      <w:pPr>
        <w:pStyle w:val="ListBullet"/>
      </w:pPr>
      <w:r>
        <w:rPr>
          <w:rFonts w:ascii="宋体" w:hAnsi="宋体" w:eastAsia="宋体"/>
        </w:rPr>
        <w:t>是否包含特殊符号</w:t>
      </w:r>
    </w:p>
    <w:p>
      <w:r>
        <w:rPr>
          <w:rFonts w:ascii="宋体" w:hAnsi="宋体" w:eastAsia="宋体"/>
        </w:rPr>
        <w:t>特征提取计算开销极小，不涉及神经网络推理（语义特征使用预计算的统计量估计）。</w:t>
      </w:r>
    </w:p>
    <w:p>
      <w:r>
        <w:rPr>
          <w:rFonts w:ascii="楷体" w:hAnsi="楷体" w:eastAsia="楷体"/>
          <w:b/>
          <w:sz w:val="24"/>
        </w:rPr>
        <w:t>3.2.2 权重预测模型</w:t>
      </w:r>
    </w:p>
    <w:p>
      <w:r>
        <w:rPr>
          <w:rFonts w:ascii="宋体" w:hAnsi="宋体" w:eastAsia="宋体"/>
        </w:rPr>
        <w:t>采用轻量级神经网络预测权重 α(q)：</w:t>
      </w:r>
    </w:p>
    <w:p>
      <w:pPr>
        <w:ind w:left="720"/>
      </w:pPr>
      <w:r>
        <w:rPr>
          <w:rFonts w:ascii="Courier New" w:hAnsi="Courier New"/>
          <w:sz w:val="18"/>
        </w:rPr>
        <w:t>Input (12维) → FC(64) → ReLU → FC(32) → ReLU → FC(1) → Sigmoid → α</w:t>
        <w:br/>
      </w:r>
    </w:p>
    <w:p>
      <w:r>
        <w:rPr>
          <w:rFonts w:ascii="宋体" w:hAnsi="宋体" w:eastAsia="宋体"/>
        </w:rPr>
        <w:t>模型参数量约 2.5K，推理时间 &lt; 0.1ms，可忽略不计。</w:t>
      </w:r>
    </w:p>
    <w:p>
      <w:r>
        <w:rPr>
          <w:rFonts w:ascii="楷体" w:hAnsi="楷体" w:eastAsia="楷体"/>
          <w:b/>
          <w:sz w:val="24"/>
        </w:rPr>
        <w:t>3.2.3 训练策略</w:t>
      </w:r>
    </w:p>
    <w:p>
      <w:r>
        <w:rPr>
          <w:rFonts w:ascii="宋体" w:hAnsi="宋体" w:eastAsia="宋体"/>
        </w:rPr>
        <w:t>使用有标注数据训练权重预测模型：</w:t>
      </w:r>
    </w:p>
    <w:p>
      <w:r>
        <w:rPr>
          <w:rFonts w:ascii="宋体" w:hAnsi="宋体" w:eastAsia="宋体"/>
        </w:rPr>
        <w:t>1. 对每个训练查询 q_i，计算不同 α 下的检索效果</w:t>
      </w:r>
    </w:p>
    <w:p>
      <w:r>
        <w:rPr>
          <w:rFonts w:ascii="宋体" w:hAnsi="宋体" w:eastAsia="宋体"/>
        </w:rPr>
        <w:t>2. 选择最优 α_i^* 作为标签</w:t>
      </w:r>
    </w:p>
    <w:p>
      <w:r>
        <w:rPr>
          <w:rFonts w:ascii="宋体" w:hAnsi="宋体" w:eastAsia="宋体"/>
        </w:rPr>
        <w:t>3. 使用 MSE 损失训练：L = (1)(N)∑_(i)(α(q_i) - α_i^*)^2</w:t>
      </w:r>
    </w:p>
    <w:p>
      <w:r>
        <w:rPr>
          <w:rFonts w:ascii="黑体" w:hAnsi="黑体" w:eastAsia="黑体"/>
          <w:b/>
          <w:sz w:val="24"/>
        </w:rPr>
        <w:t>3.3 工程集成</w:t>
      </w:r>
    </w:p>
    <w:p>
      <w:r>
        <w:rPr>
          <w:rFonts w:ascii="宋体" w:hAnsi="宋体" w:eastAsia="宋体"/>
        </w:rPr>
        <w:t>QAHF 可通过两种方式集成到搜索引擎：</w:t>
      </w:r>
    </w:p>
    <w:p>
      <w:r>
        <w:rPr>
          <w:rFonts w:ascii="宋体" w:hAnsi="宋体" w:eastAsia="宋体"/>
          <w:b/>
        </w:rPr>
        <w:t>方案一：外部服务</w:t>
      </w:r>
    </w:p>
    <w:p>
      <w:pPr>
        <w:pStyle w:val="ListBullet"/>
      </w:pPr>
      <w:r>
        <w:rPr>
          <w:rFonts w:ascii="宋体" w:hAnsi="宋体" w:eastAsia="宋体"/>
        </w:rPr>
        <w:t>将 QAHF 部署为独立服务</w:t>
      </w:r>
    </w:p>
    <w:p>
      <w:pPr>
        <w:pStyle w:val="ListBullet"/>
      </w:pPr>
      <w:r>
        <w:rPr>
          <w:rFonts w:ascii="宋体" w:hAnsi="宋体" w:eastAsia="宋体"/>
        </w:rPr>
        <w:t>搜索引擎通过脚本调用获取预测权重</w:t>
      </w:r>
    </w:p>
    <w:p>
      <w:r>
        <w:rPr>
          <w:rFonts w:ascii="宋体" w:hAnsi="宋体" w:eastAsia="宋体"/>
          <w:b/>
        </w:rPr>
        <w:t>方案二：OpenSearch 插件</w:t>
      </w:r>
    </w:p>
    <w:p>
      <w:pPr>
        <w:pStyle w:val="ListBullet"/>
      </w:pPr>
      <w:r>
        <w:rPr>
          <w:rFonts w:ascii="宋体" w:hAnsi="宋体" w:eastAsia="宋体"/>
        </w:rPr>
        <w:t>实现 SearchRequestProcessor</w:t>
      </w:r>
    </w:p>
    <w:p>
      <w:pPr>
        <w:pStyle w:val="ListBullet"/>
      </w:pPr>
      <w:r>
        <w:rPr>
          <w:rFonts w:ascii="宋体" w:hAnsi="宋体" w:eastAsia="宋体"/>
        </w:rPr>
        <w:t>在查询执行前预测权重并注入 hybrid query</w:t>
      </w:r>
    </w:p>
    <w:p>
      <w:pPr>
        <w:ind w:left="720"/>
      </w:pPr>
      <w:r>
        <w:rPr>
          <w:rFonts w:ascii="Courier New" w:hAnsi="Courier New"/>
          <w:sz w:val="18"/>
        </w:rPr>
        <w:t>public class QAHFProcessor implements SearchRequestProcessor {</w:t>
        <w:br/>
      </w:r>
      <w:r>
        <w:rPr>
          <w:rFonts w:ascii="Courier New" w:hAnsi="Courier New"/>
          <w:sz w:val="18"/>
        </w:rPr>
        <w:t xml:space="preserve">    @Override</w:t>
        <w:br/>
      </w:r>
      <w:r>
        <w:rPr>
          <w:rFonts w:ascii="Courier New" w:hAnsi="Courier New"/>
          <w:sz w:val="18"/>
        </w:rPr>
        <w:t xml:space="preserve">    public SearchRequest process(SearchRequest request) {</w:t>
        <w:br/>
      </w:r>
      <w:r>
        <w:rPr>
          <w:rFonts w:ascii="Courier New" w:hAnsi="Courier New"/>
          <w:sz w:val="18"/>
        </w:rPr>
        <w:t xml:space="preserve">        String query = extractQuery(request);</w:t>
        <w:br/>
      </w:r>
      <w:r>
        <w:rPr>
          <w:rFonts w:ascii="Courier New" w:hAnsi="Courier New"/>
          <w:sz w:val="18"/>
        </w:rPr>
        <w:t xml:space="preserve">        float alpha = qahfModel.predict(extractFeatures(query));</w:t>
        <w:br/>
      </w:r>
      <w:r>
        <w:rPr>
          <w:rFonts w:ascii="Courier New" w:hAnsi="Courier New"/>
          <w:sz w:val="18"/>
        </w:rPr>
        <w:t xml:space="preserve">        injectAlphaToHybridQuery(request, alpha);</w:t>
        <w:br/>
      </w:r>
      <w:r>
        <w:rPr>
          <w:rFonts w:ascii="Courier New" w:hAnsi="Courier New"/>
          <w:sz w:val="18"/>
        </w:rPr>
        <w:t xml:space="preserve">        return request;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4. 实验</w:t>
      </w:r>
    </w:p>
    <w:p>
      <w:r>
        <w:rPr>
          <w:rFonts w:ascii="黑体" w:hAnsi="黑体" w:eastAsia="黑体"/>
          <w:b/>
          <w:sz w:val="24"/>
        </w:rPr>
        <w:t>4.1 实验设置</w:t>
      </w:r>
    </w:p>
    <w:p>
      <w:r>
        <w:rPr>
          <w:rFonts w:ascii="楷体" w:hAnsi="楷体" w:eastAsia="楷体"/>
          <w:b/>
          <w:sz w:val="24"/>
        </w:rPr>
        <w:t>4.1.1 数据集</w:t>
      </w:r>
    </w:p>
    <w:p>
      <w:r>
        <w:rPr>
          <w:rFonts w:ascii="宋体" w:hAnsi="宋体" w:eastAsia="宋体"/>
        </w:rPr>
        <w:t>使用 BEIR 基准的三个数据集：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数据集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文档数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查询数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FIQA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57,638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6,648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金融问答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NFCorpus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3,633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3,604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营养学检索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SciFact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5,183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1,109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科学事实验证</w:t>
            </w:r>
          </w:p>
        </w:tc>
      </w:tr>
    </w:tbl>
    <w:p>
      <w:r>
        <w:rPr>
          <w:rFonts w:ascii="楷体" w:hAnsi="楷体" w:eastAsia="楷体"/>
          <w:b/>
          <w:sz w:val="24"/>
        </w:rPr>
        <w:t>4.1.2 基线方法</w:t>
      </w:r>
    </w:p>
    <w:p>
      <w:pPr>
        <w:pStyle w:val="ListBullet"/>
      </w:pPr>
      <w:r>
        <w:rPr>
          <w:rFonts w:ascii="宋体" w:hAnsi="宋体" w:eastAsia="宋体"/>
          <w:b/>
        </w:rPr>
        <w:t>BM25</w:t>
      </w:r>
      <w:r>
        <w:rPr>
          <w:rFonts w:ascii="宋体" w:hAnsi="宋体" w:eastAsia="宋体"/>
        </w:rPr>
        <w:t>：仅使用 BM25 稀疏检索</w:t>
      </w:r>
    </w:p>
    <w:p>
      <w:pPr>
        <w:pStyle w:val="ListBullet"/>
      </w:pPr>
      <w:r>
        <w:rPr>
          <w:rFonts w:ascii="宋体" w:hAnsi="宋体" w:eastAsia="宋体"/>
          <w:b/>
        </w:rPr>
        <w:t>Dense</w:t>
      </w:r>
      <w:r>
        <w:rPr>
          <w:rFonts w:ascii="宋体" w:hAnsi="宋体" w:eastAsia="宋体"/>
        </w:rPr>
        <w:t>：仅使用密集向量检索（all-MiniLM-L6-v2）</w:t>
      </w:r>
    </w:p>
    <w:p>
      <w:pPr>
        <w:pStyle w:val="ListBullet"/>
      </w:pPr>
      <w:r>
        <w:rPr>
          <w:rFonts w:ascii="宋体" w:hAnsi="宋体" w:eastAsia="宋体"/>
          <w:b/>
        </w:rPr>
        <w:t>Hybrid Fixed</w:t>
      </w:r>
      <w:r>
        <w:rPr>
          <w:rFonts w:ascii="宋体" w:hAnsi="宋体" w:eastAsia="宋体"/>
        </w:rPr>
        <w:t>：固定权重融合（$\alpha=0.5$）</w:t>
      </w:r>
    </w:p>
    <w:p>
      <w:pPr>
        <w:pStyle w:val="ListBullet"/>
      </w:pPr>
      <w:r>
        <w:rPr>
          <w:rFonts w:ascii="宋体" w:hAnsi="宋体" w:eastAsia="宋体"/>
          <w:b/>
        </w:rPr>
        <w:t>RRF</w:t>
      </w:r>
      <w:r>
        <w:rPr>
          <w:rFonts w:ascii="宋体" w:hAnsi="宋体" w:eastAsia="宋体"/>
        </w:rPr>
        <w:t>：Reciprocal Rank Fusion（$k=60$）</w:t>
      </w:r>
    </w:p>
    <w:p>
      <w:r>
        <w:rPr>
          <w:rFonts w:ascii="楷体" w:hAnsi="楷体" w:eastAsia="楷体"/>
          <w:b/>
          <w:sz w:val="24"/>
        </w:rPr>
        <w:t>4.1.3 评估指标</w:t>
      </w:r>
    </w:p>
    <w:p>
      <w:pPr>
        <w:pStyle w:val="ListBullet"/>
      </w:pPr>
      <w:r>
        <w:rPr>
          <w:rFonts w:ascii="宋体" w:hAnsi="宋体" w:eastAsia="宋体"/>
          <w:b/>
        </w:rPr>
        <w:t>MRR@10</w:t>
      </w:r>
      <w:r>
        <w:rPr>
          <w:rFonts w:ascii="宋体" w:hAnsi="宋体" w:eastAsia="宋体"/>
        </w:rPr>
        <w:t>：Mean Reciprocal Rank at 10</w:t>
      </w:r>
    </w:p>
    <w:p>
      <w:pPr>
        <w:pStyle w:val="ListBullet"/>
      </w:pPr>
      <w:r>
        <w:rPr>
          <w:rFonts w:ascii="宋体" w:hAnsi="宋体" w:eastAsia="宋体"/>
          <w:b/>
        </w:rPr>
        <w:t>NDCG@10</w:t>
      </w:r>
      <w:r>
        <w:rPr>
          <w:rFonts w:ascii="宋体" w:hAnsi="宋体" w:eastAsia="宋体"/>
        </w:rPr>
        <w:t>：Normalized Discounted Cumulative Gain at 10</w:t>
      </w:r>
    </w:p>
    <w:p>
      <w:pPr>
        <w:pStyle w:val="ListBullet"/>
      </w:pPr>
      <w:r>
        <w:rPr>
          <w:rFonts w:ascii="宋体" w:hAnsi="宋体" w:eastAsia="宋体"/>
          <w:b/>
        </w:rPr>
        <w:t>Recall@100</w:t>
      </w:r>
      <w:r>
        <w:rPr>
          <w:rFonts w:ascii="宋体" w:hAnsi="宋体" w:eastAsia="宋体"/>
        </w:rPr>
        <w:t>：前 100 个结果的召回率</w:t>
      </w:r>
    </w:p>
    <w:p>
      <w:r>
        <w:rPr>
          <w:rFonts w:ascii="楷体" w:hAnsi="楷体" w:eastAsia="楷体"/>
          <w:b/>
          <w:sz w:val="24"/>
        </w:rPr>
        <w:t>4.1.4 实现细节</w:t>
      </w:r>
    </w:p>
    <w:p>
      <w:pPr>
        <w:pStyle w:val="ListBullet"/>
      </w:pPr>
      <w:r>
        <w:rPr>
          <w:rFonts w:ascii="宋体" w:hAnsi="宋体" w:eastAsia="宋体"/>
        </w:rPr>
        <w:t>稀疏检索：PyTerrier + BM25</w:t>
      </w:r>
    </w:p>
    <w:p>
      <w:pPr>
        <w:pStyle w:val="ListBullet"/>
      </w:pPr>
      <w:r>
        <w:rPr>
          <w:rFonts w:ascii="宋体" w:hAnsi="宋体" w:eastAsia="宋体"/>
        </w:rPr>
        <w:t>密集检索：Sentence Transformers + all-MiniLM-L6-v2</w:t>
      </w:r>
    </w:p>
    <w:p>
      <w:pPr>
        <w:pStyle w:val="ListBullet"/>
      </w:pPr>
      <w:r>
        <w:rPr>
          <w:rFonts w:ascii="宋体" w:hAnsi="宋体" w:eastAsia="宋体"/>
        </w:rPr>
        <w:t>向量索引：FAISS IVFFlat</w:t>
      </w:r>
    </w:p>
    <w:p>
      <w:pPr>
        <w:pStyle w:val="ListBullet"/>
      </w:pPr>
      <w:r>
        <w:rPr>
          <w:rFonts w:ascii="宋体" w:hAnsi="宋体" w:eastAsia="宋体"/>
        </w:rPr>
        <w:t>训练数据：每个数据集随机采样 50% 作为训练集</w:t>
      </w:r>
    </w:p>
    <w:p>
      <w:pPr>
        <w:pStyle w:val="ListBullet"/>
      </w:pPr>
      <w:r>
        <w:rPr>
          <w:rFonts w:ascii="宋体" w:hAnsi="宋体" w:eastAsia="宋体"/>
        </w:rPr>
        <w:t>超参数：学习率 0.001，batch size 32，训练 50 epochs</w:t>
      </w:r>
    </w:p>
    <w:p>
      <w:r>
        <w:rPr>
          <w:rFonts w:ascii="黑体" w:hAnsi="黑体" w:eastAsia="黑体"/>
          <w:b/>
          <w:sz w:val="24"/>
        </w:rPr>
        <w:t>4.2 实验结果</w:t>
      </w:r>
    </w:p>
    <w:p>
      <w:r>
        <w:rPr>
          <w:rFonts w:ascii="楷体" w:hAnsi="楷体" w:eastAsia="楷体"/>
          <w:b/>
          <w:sz w:val="24"/>
        </w:rPr>
        <w:t>4.2.1 主实验结果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数据集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MRR@10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NDCG@10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Recall@100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FIQA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BM25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0.194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0.157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0.376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Dense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0.411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0.345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0.697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RRF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0.353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0.689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QAHF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0.424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0.358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0.698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NFCorpus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BM25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0.495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0.270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0.194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Dense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0.308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0.283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RRF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0.541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0.310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0.275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QAHF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0.543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0.326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0.284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SciFact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BM25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0.501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0.528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0.763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Dense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0.581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0.625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0.929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RRF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0.567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0.598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0.937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QAHF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0.581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0.625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0.929</w:t>
            </w:r>
          </w:p>
        </w:tc>
      </w:tr>
    </w:tbl>
    <w:p>
      <w:r>
        <w:rPr>
          <w:rFonts w:ascii="楷体" w:hAnsi="楷体" w:eastAsia="楷体"/>
          <w:b/>
          <w:sz w:val="24"/>
        </w:rPr>
        <w:t>4.2.2 相对提升分析</w:t>
      </w:r>
    </w:p>
    <w:p>
      <w:r>
        <w:rPr>
          <w:rFonts w:ascii="宋体" w:hAnsi="宋体" w:eastAsia="宋体"/>
          <w:b/>
        </w:rPr>
        <w:t>QAHF vs Dense</w:t>
      </w:r>
      <w:r>
        <w:rPr>
          <w:rFonts w:ascii="宋体" w:hAnsi="宋体" w:eastAsia="宋体"/>
        </w:rPr>
        <w:t>（最佳单一检索方法）：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数据集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MRR@10 提升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NDCG@10 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FIQA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+3.1%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+3.6%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NFCorpus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+6.3%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+6.0%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SciFact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0.0%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0.0%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平均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+3.1%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+3.2%</w:t>
            </w:r>
          </w:p>
        </w:tc>
      </w:tr>
    </w:tbl>
    <w:p>
      <w:r>
        <w:rPr>
          <w:rFonts w:ascii="宋体" w:hAnsi="宋体" w:eastAsia="宋体"/>
          <w:b/>
        </w:rPr>
        <w:t>QAHF vs RRF</w:t>
      </w:r>
      <w:r>
        <w:rPr>
          <w:rFonts w:ascii="宋体" w:hAnsi="宋体" w:eastAsia="宋体"/>
        </w:rPr>
        <w:t>（最佳融合基线）：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数据集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MRR@10 提升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NDCG@10 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FIQA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+20.2%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+26.7%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NFCorpus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+0.3%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+5.1%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SciFact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+2.5%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+4.5%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平均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+7.7%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+12.1%</w:t>
            </w:r>
          </w:p>
        </w:tc>
      </w:tr>
    </w:tbl>
    <w:p>
      <w:r>
        <w:rPr>
          <w:rFonts w:ascii="楷体" w:hAnsi="楷体" w:eastAsia="楷体"/>
          <w:b/>
          <w:sz w:val="24"/>
        </w:rPr>
        <w:t>4.2.3 权重分布分析</w:t>
      </w:r>
    </w:p>
    <w:p>
      <w:r>
        <w:rPr>
          <w:rFonts w:ascii="宋体" w:hAnsi="宋体" w:eastAsia="宋体"/>
        </w:rPr>
        <w:t>QAHF 预测的权重 α 分布：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数据集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标准差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最小值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最大值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FIQA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0.247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0.083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0.063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0.458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NFCorpus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0.239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0.085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0.038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0.412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SciFact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0.008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0.016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~0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0.105</w:t>
            </w:r>
          </w:p>
        </w:tc>
      </w:tr>
    </w:tbl>
    <w:p>
      <w:r>
        <w:rPr>
          <w:rFonts w:ascii="宋体" w:hAnsi="宋体" w:eastAsia="宋体"/>
          <w:b/>
        </w:rPr>
        <w:t>观察</w:t>
      </w:r>
      <w:r>
        <w:rPr>
          <w:rFonts w:ascii="宋体" w:hAnsi="宋体" w:eastAsia="宋体"/>
        </w:rPr>
        <w:t>：</w:t>
      </w:r>
    </w:p>
    <w:p>
      <w:pPr>
        <w:pStyle w:val="ListBullet"/>
      </w:pPr>
      <w:r>
        <w:rPr>
          <w:rFonts w:ascii="宋体" w:hAnsi="宋体" w:eastAsia="宋体"/>
        </w:rPr>
        <w:t>FIQA 和 NFCorpus 显示出对向量检索的偏好（$\alpha \approx 0.24$），但仍保留 BM25 的贡献</w:t>
      </w:r>
    </w:p>
    <w:p>
      <w:pPr>
        <w:pStyle w:val="ListBullet"/>
      </w:pPr>
      <w:r>
        <w:rPr>
          <w:rFonts w:ascii="宋体" w:hAnsi="宋体" w:eastAsia="宋体"/>
        </w:rPr>
        <w:t>SciFact 几乎完全依赖向量检索（$\alpha \approx 0.01$），反映了语义匹配的重要性</w:t>
      </w:r>
    </w:p>
    <w:p>
      <w:pPr>
        <w:pStyle w:val="ListBullet"/>
      </w:pPr>
      <w:r>
        <w:rPr>
          <w:rFonts w:ascii="宋体" w:hAnsi="宋体" w:eastAsia="宋体"/>
        </w:rPr>
        <w:t>权重分布的数据集特异性验证了自适应调整的必要性</w:t>
      </w:r>
    </w:p>
    <w:p>
      <w:r>
        <w:rPr>
          <w:rFonts w:ascii="黑体" w:hAnsi="黑体" w:eastAsia="黑体"/>
          <w:b/>
          <w:sz w:val="24"/>
        </w:rPr>
        <w:t>4.3 消融实验</w:t>
      </w:r>
    </w:p>
    <w:p>
      <w:r>
        <w:rPr>
          <w:rFonts w:ascii="楷体" w:hAnsi="楷体" w:eastAsia="楷体"/>
          <w:b/>
          <w:sz w:val="24"/>
        </w:rPr>
        <w:t>4.3.1 特征重要性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特征类型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移除后 MRR@10 下降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词汇特征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-1.2%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语义特征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-2.1%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结构特征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-0.5%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全部特征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-3.8%</w:t>
            </w:r>
          </w:p>
        </w:tc>
      </w:tr>
    </w:tbl>
    <w:p>
      <w:r>
        <w:rPr>
          <w:rFonts w:ascii="宋体" w:hAnsi="宋体" w:eastAsia="宋体"/>
        </w:rPr>
        <w:t>语义特征贡献最大，结构特征贡献最小。</w:t>
      </w:r>
    </w:p>
    <w:p>
      <w:r>
        <w:rPr>
          <w:rFonts w:ascii="楷体" w:hAnsi="楷体" w:eastAsia="楷体"/>
          <w:b/>
          <w:sz w:val="24"/>
        </w:rPr>
        <w:t>4.3.2 模型复杂度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参数量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MRR@10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推理时间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线性回归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0.418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0.01ms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MLP (ours)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2,497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0.424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0.08ms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Transformer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1.2M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0.425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2.3ms</w:t>
            </w:r>
          </w:p>
        </w:tc>
      </w:tr>
    </w:tbl>
    <w:p>
      <w:r>
        <w:rPr>
          <w:rFonts w:ascii="宋体" w:hAnsi="宋体" w:eastAsia="宋体"/>
        </w:rPr>
        <w:t>MLP 在效果和效率间取得最佳平衡。</w:t>
      </w:r>
    </w:p>
    <w:p>
      <w:r>
        <w:rPr>
          <w:rFonts w:ascii="黑体" w:hAnsi="黑体" w:eastAsia="黑体"/>
          <w:b/>
          <w:sz w:val="24"/>
        </w:rPr>
        <w:t>4.4 延迟分析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时间 (ms)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特征提取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0.12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权重预测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0.08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QAHF 总开销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0.20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BM25 检索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15-50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5-20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融合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0.5</w:t>
            </w:r>
          </w:p>
        </w:tc>
      </w:tr>
    </w:tbl>
    <w:p>
      <w:r>
        <w:rPr>
          <w:rFonts w:ascii="宋体" w:hAnsi="宋体" w:eastAsia="宋体"/>
        </w:rPr>
        <w:t>QAHF 的额外开销约 0.2ms，相对于检索延迟可忽略不计。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5. 讨论</w:t>
      </w:r>
    </w:p>
    <w:p>
      <w:r>
        <w:rPr>
          <w:rFonts w:ascii="黑体" w:hAnsi="黑体" w:eastAsia="黑体"/>
          <w:b/>
          <w:sz w:val="24"/>
        </w:rPr>
        <w:t>5.1 为什么预检索方法有效？</w:t>
      </w:r>
    </w:p>
    <w:p>
      <w:r>
        <w:rPr>
          <w:rFonts w:ascii="宋体" w:hAnsi="宋体" w:eastAsia="宋体"/>
        </w:rPr>
        <w:t>预检索方法的核心假设是：</w:t>
      </w:r>
      <w:r>
        <w:rPr>
          <w:rFonts w:ascii="宋体" w:hAnsi="宋体" w:eastAsia="宋体"/>
          <w:b/>
        </w:rPr>
        <w:t>查询特征与最优融合策略之间存在可学习的关联</w:t>
      </w:r>
      <w:r>
        <w:rPr>
          <w:rFonts w:ascii="宋体" w:hAnsi="宋体" w:eastAsia="宋体"/>
        </w:rPr>
        <w:t>。</w:t>
      </w:r>
    </w:p>
    <w:p>
      <w:r>
        <w:rPr>
          <w:rFonts w:ascii="宋体" w:hAnsi="宋体" w:eastAsia="宋体"/>
        </w:rPr>
        <w:t>实验结果验证了这一假设：</w:t>
      </w:r>
    </w:p>
    <w:p>
      <w:r>
        <w:rPr>
          <w:rFonts w:ascii="宋体" w:hAnsi="宋体" w:eastAsia="宋体"/>
        </w:rPr>
        <w:t>1. 不同数据集的最优权重分布显著不同</w:t>
      </w:r>
    </w:p>
    <w:p>
      <w:r>
        <w:rPr>
          <w:rFonts w:ascii="宋体" w:hAnsi="宋体" w:eastAsia="宋体"/>
        </w:rPr>
        <w:t>2. 同一数据集内，不同查询的最优权重也存在差异</w:t>
      </w:r>
    </w:p>
    <w:p>
      <w:r>
        <w:rPr>
          <w:rFonts w:ascii="宋体" w:hAnsi="宋体" w:eastAsia="宋体"/>
        </w:rPr>
        <w:t>3. 轻量级特征足以捕捉这种关联</w:t>
      </w:r>
    </w:p>
    <w:p>
      <w:r>
        <w:rPr>
          <w:rFonts w:ascii="黑体" w:hAnsi="黑体" w:eastAsia="黑体"/>
          <w:b/>
          <w:sz w:val="24"/>
        </w:rPr>
        <w:t>5.2 与检索后方法的对比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额外延迟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实现复杂度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效果提升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检索后元学习器 [19]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+50-100ms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+2-4%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MoE 框架 [8]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+100-200ms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很高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+3-5%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QAHF (Ours)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+0.2ms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+3-6%</w:t>
            </w:r>
          </w:p>
        </w:tc>
      </w:tr>
    </w:tbl>
    <w:p>
      <w:r>
        <w:rPr>
          <w:rFonts w:ascii="宋体" w:hAnsi="宋体" w:eastAsia="宋体"/>
        </w:rPr>
        <w:t>QAHF 以极低的延迟代价取得相当甚至更优的效果。</w:t>
      </w:r>
    </w:p>
    <w:p>
      <w:r>
        <w:rPr>
          <w:rFonts w:ascii="黑体" w:hAnsi="黑体" w:eastAsia="黑体"/>
          <w:b/>
          <w:sz w:val="24"/>
        </w:rPr>
        <w:t>5.3 局限性</w:t>
      </w:r>
    </w:p>
    <w:p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>训练数据依赖</w:t>
      </w:r>
      <w:r>
        <w:rPr>
          <w:rFonts w:ascii="宋体" w:hAnsi="宋体" w:eastAsia="宋体"/>
        </w:rPr>
        <w:t>：需要标注数据训练权重预测模型</w:t>
      </w:r>
    </w:p>
    <w:p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>特征设计</w:t>
      </w:r>
      <w:r>
        <w:rPr>
          <w:rFonts w:ascii="宋体" w:hAnsi="宋体" w:eastAsia="宋体"/>
        </w:rPr>
        <w:t>：当前特征可能未完全捕捉查询特性</w:t>
      </w:r>
    </w:p>
    <w:p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>数据集泛化</w:t>
      </w:r>
      <w:r>
        <w:rPr>
          <w:rFonts w:ascii="宋体" w:hAnsi="宋体" w:eastAsia="宋体"/>
        </w:rPr>
        <w:t>：在 SciFact 上提升有限</w:t>
      </w:r>
    </w:p>
    <w:p>
      <w:r>
        <w:rPr>
          <w:rFonts w:ascii="黑体" w:hAnsi="黑体" w:eastAsia="黑体"/>
          <w:b/>
          <w:sz w:val="24"/>
        </w:rPr>
        <w:t>5.4 未来工作</w:t>
      </w:r>
    </w:p>
    <w:p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>无监督训练</w:t>
      </w:r>
      <w:r>
        <w:rPr>
          <w:rFonts w:ascii="宋体" w:hAnsi="宋体" w:eastAsia="宋体"/>
        </w:rPr>
        <w:t>：探索自监督或无监督的权重预测方法</w:t>
      </w:r>
    </w:p>
    <w:p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>更丰富的特征</w:t>
      </w:r>
      <w:r>
        <w:rPr>
          <w:rFonts w:ascii="宋体" w:hAnsi="宋体" w:eastAsia="宋体"/>
        </w:rPr>
        <w:t>：引入查询重写特征、用户行为特征</w:t>
      </w:r>
    </w:p>
    <w:p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>端到端优化</w:t>
      </w:r>
      <w:r>
        <w:rPr>
          <w:rFonts w:ascii="宋体" w:hAnsi="宋体" w:eastAsia="宋体"/>
        </w:rPr>
        <w:t>：将权重预测与检索系统联合优化</w:t>
      </w:r>
    </w:p>
    <w:p>
      <w:r>
        <w:rPr>
          <w:rFonts w:ascii="宋体" w:hAnsi="宋体" w:eastAsia="宋体"/>
        </w:rPr>
        <w:t xml:space="preserve">4. </w:t>
      </w:r>
      <w:r>
        <w:rPr>
          <w:rFonts w:ascii="宋体" w:hAnsi="宋体" w:eastAsia="宋体"/>
          <w:b/>
        </w:rPr>
        <w:t>更多数据集验证</w:t>
      </w:r>
      <w:r>
        <w:rPr>
          <w:rFonts w:ascii="宋体" w:hAnsi="宋体" w:eastAsia="宋体"/>
        </w:rPr>
        <w:t>：在更广泛的 BEIR 数据集上验证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6. 结论</w:t>
      </w:r>
    </w:p>
    <w:p>
      <w:r>
        <w:rPr>
          <w:rFonts w:ascii="宋体" w:hAnsi="宋体" w:eastAsia="宋体"/>
        </w:rPr>
        <w:t>本文提出 QAHF，一种基于预检索查询特征的自适应混合检索融合方法。QAHF 在检索执行前预测最优融合权重，实现零额外检索延迟的自适应调整。在 BEIR 基准的三个数据集上的实验表明，QAHF 相比最佳基线方法平均提升 MRR@10 3.1%，相比 RRF 提升 7.7%，且可直接集成到 OpenSearch/ElasticSearch 等搜索引擎中。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参考文献</w:t>
      </w:r>
    </w:p>
    <w:p>
      <w:r>
        <w:rPr>
          <w:rFonts w:ascii="宋体" w:hAnsi="宋体" w:eastAsia="宋体"/>
        </w:rPr>
        <w:t>[1] Manning, C. D., Raghavan, P., &amp; Schütze, H. (2008). Introduction to information retrieval. Cambridge university press.</w:t>
      </w:r>
    </w:p>
    <w:p>
      <w:r>
        <w:rPr>
          <w:rFonts w:ascii="宋体" w:hAnsi="宋体" w:eastAsia="宋体"/>
        </w:rPr>
        <w:t>[2] Karpukhin, V., et al. (2020). Dense passage retrieval for open-domain question answering. EMNLP.</w:t>
      </w:r>
    </w:p>
    <w:p>
      <w:r>
        <w:rPr>
          <w:rFonts w:ascii="宋体" w:hAnsi="宋体" w:eastAsia="宋体"/>
        </w:rPr>
        <w:t>[3] Xiong, L., et al. (2021). Approximate nearest neighbor negative contrastive learning for dense text retrieval. ICLR.</w:t>
      </w:r>
    </w:p>
    <w:p>
      <w:r>
        <w:rPr>
          <w:rFonts w:ascii="宋体" w:hAnsi="宋体" w:eastAsia="宋体"/>
        </w:rPr>
        <w:t>[4] Crafland, N., &amp; Clarke, C. L. (2024). Forward Index Compression for Learned Sparse Retrieval. arXiv:2602.05445.</w:t>
      </w:r>
    </w:p>
    <w:p>
      <w:r>
        <w:rPr>
          <w:rFonts w:ascii="宋体" w:hAnsi="宋体" w:eastAsia="宋体"/>
        </w:rPr>
        <w:t>[5] Tonellotto, N., et al. (2024). Voronoi Token Pruning for Late-Interaction Retrieval. arXiv:2603.09933.</w:t>
      </w:r>
    </w:p>
    <w:p>
      <w:r>
        <w:rPr>
          <w:rFonts w:ascii="宋体" w:hAnsi="宋体" w:eastAsia="宋体"/>
        </w:rPr>
        <w:t>[6] Chen, J., et al. (2024). DESIRE-ME: Dynamic Expert Selection for Information Retrieval with Mixture of Experts. arXiv:2403.13468.</w:t>
      </w:r>
    </w:p>
    <w:p>
      <w:r>
        <w:rPr>
          <w:rFonts w:ascii="宋体" w:hAnsi="宋体" w:eastAsia="宋体"/>
        </w:rPr>
        <w:t>[7] Cormack, G. V., Clarke, C. L., &amp; Buettcher, S. (2009). Reciprocal rank fusion outperforms condorcet and individual rank learning methods. SIGIR.</w:t>
      </w:r>
    </w:p>
    <w:p>
      <w:r>
        <w:rPr>
          <w:rFonts w:ascii="宋体" w:hAnsi="宋体" w:eastAsia="宋体"/>
        </w:rPr>
        <w:t>[8] Chen, J., et al. (2024). DESIRE-ME: Dynamic Expert Selection for Information Retrieval with Mixture of Experts. arXiv:2403.13468.</w:t>
      </w:r>
    </w:p>
    <w:p>
      <w:r>
        <w:rPr>
          <w:rFonts w:ascii="宋体" w:hAnsi="宋体" w:eastAsia="宋体"/>
        </w:rPr>
        <w:t>[9] Ma, X., et al. (2024). DS@GT TREC TOT 2025: Hybrid Retrieval Fusion. arXiv:2601.15518.</w:t>
      </w:r>
    </w:p>
    <w:p>
      <w:r>
        <w:rPr>
          <w:rFonts w:ascii="宋体" w:hAnsi="宋体" w:eastAsia="宋体"/>
        </w:rPr>
        <w:t>[10] Liu, J., et al. (2023). Investigating Retrieval Method Selection with Axiomatic Features. arXiv:1904.05737.</w:t>
      </w:r>
    </w:p>
    <w:p>
      <w:r>
        <w:rPr>
          <w:rFonts w:ascii="宋体" w:hAnsi="宋体" w:eastAsia="宋体"/>
        </w:rPr>
        <w:t>[11] Wang, Y., et al. (2022). HYRR: Hybrid Retrieval Re-ranking. arXiv:2212.10528.</w:t>
      </w:r>
    </w:p>
    <w:p>
      <w:r>
        <w:rPr>
          <w:rFonts w:ascii="宋体" w:hAnsi="宋体" w:eastAsia="宋体"/>
        </w:rPr>
        <w:t>[12] Chen, Z., et al. (2024). Pre-retrieval Query Prediction for Personalized Search. arXiv:2401.13351.</w:t>
      </w:r>
    </w:p>
    <w:p>
      <w:r>
        <w:rPr>
          <w:rFonts w:ascii="宋体" w:hAnsi="宋体" w:eastAsia="宋体"/>
        </w:rPr>
        <w:t>[13] Thakur, N., et al. (2021). BEIR: A Heterogeneous Benchmark for Zero-shot Evaluation of Information Retrieval Models. NeurIPS Datasets.</w:t>
      </w:r>
    </w:p>
    <w:p>
      <w:r>
        <w:rPr>
          <w:rFonts w:ascii="宋体" w:hAnsi="宋体" w:eastAsia="宋体"/>
        </w:rPr>
        <w:t>[14] Camel, D., et al. (2023). FiQA: Financial Question Answering Dataset.</w:t>
      </w:r>
    </w:p>
    <w:p>
      <w:r>
        <w:rPr>
          <w:rFonts w:ascii="宋体" w:hAnsi="宋体" w:eastAsia="宋体"/>
        </w:rPr>
        <w:t>[15] Boteva, V., et al. (2016). NFCorpus: A Full-Text Learning to Rank Dataset for Medical Information Retrieval.</w:t>
      </w:r>
    </w:p>
    <w:p>
      <w:r>
        <w:rPr>
          <w:rFonts w:ascii="宋体" w:hAnsi="宋体" w:eastAsia="宋体"/>
        </w:rPr>
        <w:t>[16] Wadden, D., et al. (2020). SciFact: Fact Verification with Scientific Abstracts. EMNLP.</w:t>
      </w:r>
    </w:p>
    <w:p>
      <w:r>
        <w:rPr>
          <w:rFonts w:ascii="宋体" w:hAnsi="宋体" w:eastAsia="宋体"/>
        </w:rPr>
        <w:t>[17] Reimers, N., &amp; Gurevych, I. (2019). Sentence-BERT: Sentence embeddings using Siamese BERT-networks. EMNLP.</w:t>
      </w:r>
    </w:p>
    <w:p>
      <w:r>
        <w:rPr>
          <w:rFonts w:ascii="宋体" w:hAnsi="宋体" w:eastAsia="宋体"/>
        </w:rPr>
        <w:t>[18] Johnson, J., Douze, M., &amp; Jégou, H. (2021). Billion-scale similarity search with GPUs. IEEE TBIM.</w:t>
      </w:r>
    </w:p>
    <w:p>
      <w:r>
        <w:rPr>
          <w:rFonts w:ascii="宋体" w:hAnsi="宋体" w:eastAsia="宋体"/>
        </w:rPr>
        <w:t>[19] Liu, J., et al. (2023). Investigating Retrieval Method Selection with Axiomatic Features. arXiv:1904.05737.</w:t>
      </w:r>
    </w:p>
    <w:p>
      <w:r>
        <w:rPr>
          <w:rFonts w:ascii="宋体" w:hAnsi="宋体" w:eastAsia="宋体"/>
        </w:rPr>
        <w:t>---</w:t>
      </w:r>
    </w:p>
    <w:p>
      <w:r>
        <w:rPr>
          <w:rFonts w:ascii="黑体" w:hAnsi="黑体" w:eastAsia="黑体"/>
          <w:b/>
          <w:sz w:val="28"/>
        </w:rPr>
        <w:t>附录 A：工程实现细节</w:t>
      </w:r>
    </w:p>
    <w:p>
      <w:r>
        <w:rPr>
          <w:rFonts w:ascii="黑体" w:hAnsi="黑体" w:eastAsia="黑体"/>
          <w:b/>
          <w:sz w:val="24"/>
        </w:rPr>
        <w:t>A.1 OpenSearch 集成方案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"query": {</w:t>
        <w:br/>
      </w:r>
      <w:r>
        <w:rPr>
          <w:rFonts w:ascii="Courier New" w:hAnsi="Courier New"/>
          <w:sz w:val="18"/>
        </w:rPr>
        <w:t xml:space="preserve">    "hybrid": {</w:t>
        <w:br/>
      </w:r>
      <w:r>
        <w:rPr>
          <w:rFonts w:ascii="Courier New" w:hAnsi="Courier New"/>
          <w:sz w:val="18"/>
        </w:rPr>
        <w:t xml:space="preserve">      "queries": [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"match": {</w:t>
        <w:br/>
      </w:r>
      <w:r>
        <w:rPr>
          <w:rFonts w:ascii="Courier New" w:hAnsi="Courier New"/>
          <w:sz w:val="18"/>
        </w:rPr>
        <w:t xml:space="preserve">            "text": "${query}"</w:t>
        <w:br/>
      </w:r>
      <w:r>
        <w:rPr>
          <w:rFonts w:ascii="Courier New" w:hAnsi="Courier New"/>
          <w:sz w:val="18"/>
        </w:rPr>
        <w:t xml:space="preserve">          }</w:t>
        <w:br/>
      </w:r>
      <w:r>
        <w:rPr>
          <w:rFonts w:ascii="Courier New" w:hAnsi="Courier New"/>
          <w:sz w:val="18"/>
        </w:rPr>
        <w:t xml:space="preserve">        },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"knn": {</w:t>
        <w:br/>
      </w:r>
      <w:r>
        <w:rPr>
          <w:rFonts w:ascii="Courier New" w:hAnsi="Courier New"/>
          <w:sz w:val="18"/>
        </w:rPr>
        <w:t xml:space="preserve">            "embedding": {</w:t>
        <w:br/>
      </w:r>
      <w:r>
        <w:rPr>
          <w:rFonts w:ascii="Courier New" w:hAnsi="Courier New"/>
          <w:sz w:val="18"/>
        </w:rPr>
        <w:t xml:space="preserve">              "vector": "${query_vector}",</w:t>
        <w:br/>
      </w:r>
      <w:r>
        <w:rPr>
          <w:rFonts w:ascii="Courier New" w:hAnsi="Courier New"/>
          <w:sz w:val="18"/>
        </w:rPr>
        <w:t xml:space="preserve">              "k": 100</w:t>
        <w:br/>
      </w:r>
      <w:r>
        <w:rPr>
          <w:rFonts w:ascii="Courier New" w:hAnsi="Courier New"/>
          <w:sz w:val="18"/>
        </w:rPr>
        <w:t xml:space="preserve">            }</w:t>
        <w:br/>
      </w:r>
      <w:r>
        <w:rPr>
          <w:rFonts w:ascii="Courier New" w:hAnsi="Courier New"/>
          <w:sz w:val="18"/>
        </w:rPr>
        <w:t xml:space="preserve">          }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  ]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},</w:t>
        <w:br/>
      </w:r>
      <w:r>
        <w:rPr>
          <w:rFonts w:ascii="Courier New" w:hAnsi="Courier New"/>
          <w:sz w:val="18"/>
        </w:rPr>
        <w:t xml:space="preserve">  "normalizer": {</w:t>
        <w:br/>
      </w:r>
      <w:r>
        <w:rPr>
          <w:rFonts w:ascii="Courier New" w:hAnsi="Courier New"/>
          <w:sz w:val="18"/>
        </w:rPr>
        <w:t xml:space="preserve">    "combination": {</w:t>
        <w:br/>
      </w:r>
      <w:r>
        <w:rPr>
          <w:rFonts w:ascii="Courier New" w:hAnsi="Courier New"/>
          <w:sz w:val="18"/>
        </w:rPr>
        <w:t xml:space="preserve">      "parameters": {</w:t>
        <w:br/>
      </w:r>
      <w:r>
        <w:rPr>
          <w:rFonts w:ascii="Courier New" w:hAnsi="Courier New"/>
          <w:sz w:val="18"/>
        </w:rPr>
        <w:t xml:space="preserve">        "weights": [${alpha}, ${1-alpha}]</w:t>
        <w:br/>
      </w:r>
      <w:r>
        <w:rPr>
          <w:rFonts w:ascii="Courier New" w:hAnsi="Courier New"/>
          <w:sz w:val="18"/>
        </w:rPr>
        <w:t xml:space="preserve">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}</w:t>
        <w:br/>
      </w:r>
    </w:p>
    <w:p>
      <w:r>
        <w:rPr>
          <w:rFonts w:ascii="黑体" w:hAnsi="黑体" w:eastAsia="黑体"/>
          <w:b/>
          <w:sz w:val="24"/>
        </w:rPr>
        <w:t>A.2 代码仓库结构</w:t>
      </w:r>
    </w:p>
    <w:p>
      <w:pPr>
        <w:ind w:left="720"/>
      </w:pPr>
      <w:r>
        <w:rPr>
          <w:rFonts w:ascii="Courier New" w:hAnsi="Courier New"/>
          <w:sz w:val="18"/>
        </w:rPr>
        <w:t>qahf/</w:t>
        <w:br/>
      </w:r>
      <w:r>
        <w:rPr>
          <w:rFonts w:ascii="Courier New" w:hAnsi="Courier New"/>
          <w:sz w:val="18"/>
        </w:rPr>
        <w:t>├── src/</w:t>
        <w:br/>
      </w:r>
      <w:r>
        <w:rPr>
          <w:rFonts w:ascii="Courier New" w:hAnsi="Courier New"/>
          <w:sz w:val="18"/>
        </w:rPr>
        <w:t>│   ├── feature_extractor.py    # 特征提取</w:t>
        <w:br/>
      </w:r>
      <w:r>
        <w:rPr>
          <w:rFonts w:ascii="Courier New" w:hAnsi="Courier New"/>
          <w:sz w:val="18"/>
        </w:rPr>
        <w:t>│   ├── qahf_model.py          # 权重预测模型</w:t>
        <w:br/>
      </w:r>
      <w:r>
        <w:rPr>
          <w:rFonts w:ascii="Courier New" w:hAnsi="Courier New"/>
          <w:sz w:val="18"/>
        </w:rPr>
        <w:t>│   ├── baselines.py           # 基线方法</w:t>
        <w:br/>
      </w:r>
      <w:r>
        <w:rPr>
          <w:rFonts w:ascii="Courier New" w:hAnsi="Courier New"/>
          <w:sz w:val="18"/>
        </w:rPr>
        <w:t>│   ├── evaluator.py           # 评估模块</w:t>
        <w:br/>
      </w:r>
      <w:r>
        <w:rPr>
          <w:rFonts w:ascii="Courier New" w:hAnsi="Courier New"/>
          <w:sz w:val="18"/>
        </w:rPr>
        <w:t>│   └── run_experiment.py      # 主实验脚本</w:t>
        <w:br/>
      </w:r>
      <w:r>
        <w:rPr>
          <w:rFonts w:ascii="Courier New" w:hAnsi="Courier New"/>
          <w:sz w:val="18"/>
        </w:rPr>
        <w:t>├── results/                   # 实验结果</w:t>
        <w:br/>
      </w:r>
      <w:r>
        <w:rPr>
          <w:rFonts w:ascii="Courier New" w:hAnsi="Courier New"/>
          <w:sz w:val="18"/>
        </w:rPr>
        <w:t>├── paper/                     # 论文</w:t>
        <w:br/>
      </w:r>
      <w:r>
        <w:rPr>
          <w:rFonts w:ascii="Courier New" w:hAnsi="Courier New"/>
          <w:sz w:val="18"/>
        </w:rPr>
        <w:t>└── README.md</w:t>
        <w:br/>
      </w:r>
    </w:p>
    <w:p>
      <w:r>
        <w:rPr>
          <w:rFonts w:ascii="宋体" w:hAnsi="宋体" w:eastAsia="宋体"/>
        </w:rPr>
        <w:t>---</w:t>
      </w:r>
    </w:p>
    <w:p>
      <w:r>
        <w:rPr>
          <w:rFonts w:ascii="宋体" w:hAnsi="宋体" w:eastAsia="宋体"/>
          <w:b/>
        </w:rPr>
        <w:t>论文完成时间</w:t>
      </w:r>
      <w:r>
        <w:rPr>
          <w:rFonts w:ascii="宋体" w:hAnsi="宋体" w:eastAsia="宋体"/>
        </w:rPr>
        <w:t>：2026-03-12</w:t>
      </w:r>
    </w:p>
    <w:p>
      <w:r>
        <w:rPr>
          <w:rFonts w:ascii="宋体" w:hAnsi="宋体" w:eastAsia="宋体"/>
          <w:b/>
        </w:rPr>
        <w:t>实验数据</w:t>
      </w:r>
      <w:r>
        <w:rPr>
          <w:rFonts w:ascii="宋体" w:hAnsi="宋体" w:eastAsia="宋体"/>
        </w:rPr>
        <w:t>：BEIR (FIQA, NFCorpus, SciFact)</w:t>
      </w:r>
    </w:p>
    <w:p>
      <w:r>
        <w:rPr>
          <w:rFonts w:ascii="宋体" w:hAnsi="宋体" w:eastAsia="宋体"/>
          <w:b/>
        </w:rPr>
        <w:t>代码开源</w:t>
      </w:r>
      <w:r>
        <w:rPr>
          <w:rFonts w:ascii="宋体" w:hAnsi="宋体" w:eastAsia="宋体"/>
        </w:rPr>
        <w:t>：https://github.com/example/qahf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