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智能驾驶水面之下，“AI推理之争”暗流涌动</w:t>
      </w:r>
    </w:p>
    <w:p>
      <w:pPr>
        <w:spacing w:line="278" w:lineRule="auto" w:after="160"/>
        <w:ind w:firstLine="560"/>
      </w:pPr>
      <w:r>
        <w:rPr>
          <w:rFonts w:ascii="仿宋" w:hAnsi="仿宋" w:eastAsia="仿宋"/>
          <w:sz w:val="28"/>
        </w:rPr>
        <w:t>OpenAI和谷歌DeepMind等机构正在推动AI从预训练向深度推理转型，其核心在于提升模型在复杂场景下的逻辑分析和决策能力。OpenAI联合创始人指出，随着算力提升和数据增长放缓，AI发展重点转向提高现有数据的推理效率。巴克莱报告显示，AI推理计算需求将占通用人工智能总计算需求的70%以上，达到训练需求的4.5倍。在智能驾驶领域，理想汽车推出的MindVLA架构整合了空间、语言和行为智能，计划2026年量产；Waymo基于多模态大语言模型Gemini开发的EMMA系统，能直接处理传感器数据并输出驾驶决策。这些技术通过统一架构实现感知-决策-执行的闭环，将推理时长从传统方案的1秒提升至几十秒，显著增强了对复杂场景的处理能力。随着VLA（视觉-语言-动作）模型在车载计算平台的落地，智能驾驶将迎来新一轮技术升级，但同时也面临数据闭环和实时响应等挑战。企业需加强多模态数据积累和算力投入，以把握智能驾驶向L4级演进的关键机遇。</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英特尔新任CEO陈立武：组建顶尖团队“纠错”，希望成为伟大的晶圆厂</w:t>
      </w:r>
    </w:p>
    <w:p>
      <w:pPr>
        <w:spacing w:line="278" w:lineRule="auto" w:after="160"/>
        <w:ind w:firstLine="560"/>
      </w:pPr>
      <w:r>
        <w:rPr>
          <w:rFonts w:ascii="仿宋" w:hAnsi="仿宋" w:eastAsia="仿宋"/>
          <w:sz w:val="28"/>
        </w:rPr>
        <w:t>英特尔新任CEO陈立武在Intel Vision 2025大会上宣布将推动公司向"全球顶尖代工厂"转型，核心策略包括加速18A工艺节点研发和强化工程团队建设。18A工艺将于下半年通过Panther Lake芯片实现量产，并完成首次外部客户流片。陈立武凭借其在Cadence公司任职期间推动10%收入增长、实现3200%股东回报的经验，计划通过重组人才队伍、优化产品设计流程来提升竞争力。目前英特尔正与三大AI平台合作开发下一代x86解决方案，同时加强在AI边缘计算和数据中心领域的布局。这一转型将增强英特尔在先进制程领域的竞争力，并为全球芯片供应链提供更多元化的选择，但公司仍需解决人才流失和产品交付时效等挑战。</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华人富豪花2亿美金上太空，开启人类首次极地轨道飞行首秀</w:t>
      </w:r>
    </w:p>
    <w:p>
      <w:pPr>
        <w:spacing w:line="278" w:lineRule="auto" w:after="160"/>
        <w:ind w:firstLine="560"/>
      </w:pPr>
      <w:r>
        <w:rPr>
          <w:rFonts w:ascii="仿宋" w:hAnsi="仿宋" w:eastAsia="仿宋"/>
          <w:sz w:val="28"/>
        </w:rPr>
        <w:t>SpaceX将于2025年4月执行首次商业极地轨道载人飞行任务"Fram2"，由加密货币企业家王纯全额资助2亿美元。该任务采用90度倾角极地轨道设计，使飞船每90分钟飞越南北极，实现对地球两极的全景扫描。任务亮点包括：猎鹰9号火箭第六次复用创造商业火箭重复使用纪录；进行22项科学实验，其中首次在太空环境下完成人体X射线检查；测试星链激光通信技术。此次任务将商业航天成本降至传统航天的1/10，为后续项目树立成本标杆。极地轨道任务的商业化将催生新的太空经济生态，推动通信卫星、气象观测等领域的创新发展。相关企业应关注可重复使用火箭、太空医疗设备等技术的商业化应用前景。</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OpenAI要Open了，奥特曼开源首个推理模型，ChatGPT一小时暴增百万用户</w:t>
      </w:r>
    </w:p>
    <w:p>
      <w:pPr>
        <w:spacing w:line="278" w:lineRule="auto" w:after="160"/>
        <w:ind w:firstLine="560"/>
      </w:pPr>
      <w:r>
        <w:rPr>
          <w:rFonts w:ascii="仿宋" w:hAnsi="仿宋" w:eastAsia="仿宋"/>
          <w:sz w:val="28"/>
        </w:rPr>
        <w:t>OpenAI宣布将在未来几个月开源一款强大的推理模型，这是继GPT-2后首个开源模型。该模型将采用MIT或Apache 2.0许可证，并允许开发者在消费级硬件上运行。OpenAI此次决策源于开发者和企业客户对定制化AI的需求，旨在扩大开发者对强大AI的访问权限，同时保持高标准的安全部署。此外，OpenAI宣布完成400亿美元融资，由软银领投，估值达3000亿美元，仅次于SpaceX。开源模型将为开发者提供更多灵活性，支持本地运行和数据控制，预计将推动AI技术的广泛应用和创新。企业应关注这一开源动态，探索如何利用该模型优化自身AI解决方案。</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4月新机大乱斗：大屏轻薄化、旗舰小屏化，影像也卷出不同方向了</w:t>
      </w:r>
    </w:p>
    <w:p>
      <w:pPr>
        <w:spacing w:line="278" w:lineRule="auto" w:after="160"/>
        <w:ind w:firstLine="560"/>
      </w:pPr>
      <w:r>
        <w:rPr>
          <w:rFonts w:ascii="仿宋" w:hAnsi="仿宋" w:eastAsia="仿宋"/>
          <w:sz w:val="28"/>
        </w:rPr>
        <w:t>OPPO近日发布Find X8系列旗舰手机，其中Find X8 Ultra采用双潜望长焦方案并升级丹霞原彩镜头，电池容量较前代提升1000+mAh，搭载骁龙8至尊版处理器；同期推出的Find X8s则配备6.3英寸1.25mm超窄边框直屏，首发天玑9400+芯片。vivo即将推出的X200 Ultra采用索尼LYT-818三主摄方案，支持全焦段光学防抖和4K120帧视频录制，其35mm主摄焦段在影像旗舰中形成差异化。三星则布局超薄赛道，S25 Edge以6.4mm机身厚度搭载2亿像素主摄。这些新品显示手机行业正沿小屏全能化、大屏轻薄化和影像差异化三大方向发展，硬件突破主要得益于芯片能效提升和电池技术革新。厂商需在细分市场精准定位，消费者可根据实际需求选择，预计上半年还将有更多技术迭代产品面市。</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脑机接口迎来“DeepSeek时刻”了吗？</w:t>
      </w:r>
    </w:p>
    <w:p>
      <w:pPr>
        <w:spacing w:line="278" w:lineRule="auto" w:after="160"/>
        <w:ind w:firstLine="560"/>
      </w:pPr>
      <w:r>
        <w:rPr>
          <w:rFonts w:ascii="仿宋" w:hAnsi="仿宋" w:eastAsia="仿宋"/>
          <w:sz w:val="28"/>
        </w:rPr>
        <w:t>我国自主研发的"北脑一号"半侵入式脑机接口在天坛医院完成第3例人体植入手术，单字解码时延小于100毫秒，成功帮助渐冻症患者重建语言功能。该技术由北大第一医院、宣武医院等机构联合研发，采用无线皮层植入方案，已实现临床应用突破。国家医保局已专门设立脑机接口医疗服务价格项目，为技术商业化铺平道路。目前脑机接口在医疗康复领域已取得显著成效，未来将加速在神经疾病治疗方面的应用。企业需加强临床数据积累，同时政府应完善技术标准和伦理规范，推动这一前沿技术安全落地。</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朱啸虎质疑的AI壁垒，字节早就给出过答案</w:t>
      </w:r>
    </w:p>
    <w:p>
      <w:pPr>
        <w:spacing w:line="278" w:lineRule="auto" w:after="160"/>
        <w:ind w:firstLine="560"/>
      </w:pPr>
      <w:r>
        <w:rPr>
          <w:rFonts w:ascii="仿宋" w:hAnsi="仿宋" w:eastAsia="仿宋"/>
          <w:sz w:val="28"/>
        </w:rPr>
        <w:t>字节跳动旗下今日头条通过算法推荐技术颠覆传统新闻编辑推荐模式，2012年上线后快速抢占市场。其核心创新在于采用个性化推荐算法，并抓住智能手机换机潮红利，通过0.4元/台的手机预装策略快速获取用户。2017年该平台月活已达2.19亿，广告收入150亿元。关键突破在于建立了创作者分红机制，吸引大量内容生产者入驻。这一模式的成功促使腾讯、阿里等巨头在2016年后才跟进类似产品。该案例表明，技术创新需结合市场时机和运营策略才能形成有效壁垒。当前AI创业者可借鉴其经验，重点关注技术革新与市场需求的契合度。</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瑞士食品科技公司sallea研发细胞生长支架技术，用于生产带有纹理的整块细胞培养肉 | 瑞士创新100强</w:t>
      </w:r>
    </w:p>
    <w:p>
      <w:pPr>
        <w:spacing w:line="278" w:lineRule="auto" w:after="160"/>
        <w:ind w:firstLine="560"/>
      </w:pPr>
      <w:r>
        <w:rPr>
          <w:rFonts w:ascii="仿宋" w:hAnsi="仿宋" w:eastAsia="仿宋"/>
          <w:sz w:val="28"/>
        </w:rPr>
        <w:t>瑞士食品科技公司Sallea研发的细胞生长支架技术能够创建高精度、多孔隙的可食用支架，用于生产具有自然纹理的整块培养肉，如牛排、鱼片等。该技术通过将支架直接加入生物反应器，使细胞自然附着并三维生长，其支架的孔径、孔形和孔隙率高度可控，原料符合食品级标准，能提升细胞活力和营养运输效率。与传统畜牧业相比，培养肉可减少93%的空气污染、95%的土地使用和78%的水资源消耗，市场预计2030年规模将达3700亿美元。该技术还可应用于医疗和药品领域，如再生医学和药物测试。Sallea已完成260万美元种子前轮融资，将加速产品开发和试点项目。随着细胞培养肉市场增长，该技术有望推动可持续食品生产，企业需加强技术优化和供应链整合以应对需求。</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OpenAI重新开源，第一弹就推理模型，还不限制商用，“冲着DeepSeek来的”</w:t>
      </w:r>
    </w:p>
    <w:p>
      <w:pPr>
        <w:spacing w:line="278" w:lineRule="auto" w:after="160"/>
        <w:ind w:firstLine="560"/>
      </w:pPr>
      <w:r>
        <w:rPr>
          <w:rFonts w:ascii="仿宋" w:hAnsi="仿宋" w:eastAsia="仿宋"/>
          <w:sz w:val="28"/>
        </w:rPr>
        <w:t>OpenAI近期发布三大重要进展：首先开源具备推理能力的大语言模型，允许开发者自由使用和修改，此举直接对标Meta的Llama模型；其次完成400亿美元融资，创下科技企业单轮融资纪录，估值达3000亿美元，资金将用于技术研发和基础设施扩建；最后ChatGPT用户增速创新高，得益于GPT-4o图像生成功能，1小时内新增100万用户，周活跃用户已达5亿。这些突破将显著提升OpenAI在AI领域的影响力，开源策略可能改变行业格局，企业需关注其技术发展以把握市场机遇，同时应对可能加剧的行业竞争。</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速腾聚创2024年报：净亏损收窄，继续高增长</w:t>
      </w:r>
    </w:p>
    <w:p>
      <w:pPr>
        <w:spacing w:line="278" w:lineRule="auto" w:after="160"/>
        <w:ind w:firstLine="560"/>
      </w:pPr>
      <w:r>
        <w:rPr>
          <w:rFonts w:ascii="仿宋" w:hAnsi="仿宋" w:eastAsia="仿宋"/>
          <w:sz w:val="28"/>
        </w:rPr>
        <w:t>速腾聚创2024年激光雷达销量达54.42万台，市占率位居全球第一，同比增长109.6%；全年营收16.5亿元，同比增长47.2%。该公司通过全数字化激光雷达技术实现产品快速迭代，新品开发周期缩短至三个月，并推出售价低于200美元的MX型号推动智驾普及。创新业务方面投入2.5亿元研发机器人核心部件，已与10家人形机器人企业达成合作。尽管全年净亏损3.96亿元，但毛利率提升至17.2%，现金储备达34亿元。随着L3级自动驾驶商用加速，其千线级EM4激光雷达已获多家车企定点，预计2026年实现盈利。该技术路线将推动智能驾驶成本下探至15万元车型，同时通过高端产品平衡价格压力，未来海外业务有望成为新增长点。企业需持续优化供应链效率以应对行业竞争加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陈立武执掌英特尔“第一把火”：挖人才、砍业务，刀刃向内</w:t>
      </w:r>
    </w:p>
    <w:p>
      <w:pPr>
        <w:spacing w:line="278" w:lineRule="auto" w:after="160"/>
        <w:ind w:firstLine="560"/>
      </w:pPr>
      <w:r>
        <w:rPr>
          <w:rFonts w:ascii="仿宋" w:hAnsi="仿宋" w:eastAsia="仿宋"/>
          <w:sz w:val="28"/>
        </w:rPr>
        <w:t>英特尔新任CEO陈立武在Vision大会上宣布将重点推进晶圆代工和产品创新两大战略。其核心举措包括：加速Intel 18A制程节点量产，首个外部客户流片即将完成，预计下半年随Panther Lake处理器实现规模生产；采用软件优先和AI驱动系统设计的新方法，重构硬件开发流程；同时聚焦数据中心AI芯片定制化需求，已与三家主要平台公司展开合作。数据显示，Intel 18A产品良率提升显著，将为客户提供更具竞争力的代工服务。这一系列技术革新将强化英特尔在半导体制造领域地位，并为AI、边缘计算等新兴领域提供关键支持。企业需加快适应定制化芯片趋势，政府应加强产业政策协同以维护供应链安全。</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芯片，怎么办？</w:t>
      </w:r>
    </w:p>
    <w:p>
      <w:pPr>
        <w:spacing w:line="278" w:lineRule="auto" w:after="160"/>
        <w:ind w:firstLine="560"/>
      </w:pPr>
      <w:r>
        <w:rPr>
          <w:rFonts w:ascii="仿宋" w:hAnsi="仿宋" w:eastAsia="仿宋"/>
          <w:sz w:val="28"/>
        </w:rPr>
        <w:t>台积电N2开发团队在IEDM大会上展示了其2纳米逻辑平台技术成果。该团队采用纳米片晶体管取代FinFET结构，通过NanoFlex技术优化单元性能，实现速度提升15%、功耗降低30%、面积效率提高1.15倍。关键突破包括在0.6V低电压下能效提升20%，互连能效提升55%，以及SRAM密度达到38.1兆比特/平方毫米。该技术预计2025年下半年量产，将显著提升AI、移动设备和HPC领域的芯片性能。随着3D堆叠和背面供电等创新技术的应用，2纳米工艺有望推动半导体行业持续发展，满足人工智能时代对高性能低功耗芯片的迫切需求。</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京东还能赢多久？</w:t>
      </w:r>
    </w:p>
    <w:p>
      <w:pPr>
        <w:spacing w:line="278" w:lineRule="auto" w:after="160"/>
        <w:ind w:firstLine="560"/>
      </w:pPr>
      <w:r>
        <w:rPr>
          <w:rFonts w:ascii="仿宋" w:hAnsi="仿宋" w:eastAsia="仿宋"/>
          <w:sz w:val="28"/>
        </w:rPr>
        <w:t>京东在2024年通过自营模式成功抓住国家补贴政策机遇，实现业绩显著回升。数据显示，其四季度营收同比增长13.4%，其中电子产品及家电品类增速达15.8%，是行业平均水平的五倍。这主要得益于京东成熟的供应链体系：一方面依托全国分公司网络快速对接各地差异化补贴政策，另一方面通过自有资金垫付和定价优势解决品牌商账期难题。值得注意的是，京东应收账款增速显著高于营收增速，反映出其主动承担补贴资金压力的策略。当前京东正面临自营与第三方业务的结构性矛盾，虽通过组织架构调整推动业务协同，但资源分配问题仍需平衡。随着消费补贴政策常态化，京东需持续优化供应链效率，同时加快第三方生态建设，以应对电商行业的多维度竞争。</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