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华人富豪花2亿美金上太空，开启人类首次极地轨道飞行首秀</w:t>
      </w:r>
    </w:p>
    <w:p>
      <w:pPr>
        <w:spacing w:line="278" w:lineRule="auto" w:after="160"/>
        <w:ind w:firstLine="560"/>
      </w:pPr>
      <w:r>
        <w:rPr>
          <w:rFonts w:ascii="仿宋" w:hAnsi="仿宋" w:eastAsia="仿宋"/>
          <w:sz w:val="28"/>
        </w:rPr>
        <w:t>SpaceX公司通过"Fram2"任务实现商业航天新突破，首次将四名平民航天员送入极地轨道。任务采用第六次复用的猎鹰9号火箭，将单次发射成本降至传统航天的1/10，并搭载22项科学实验。关键技术包括90度倾角极地轨道设计，可实现对地球两极的全景观测；改进型"坚韧号"飞船配备4米直径全景穹顶舱；以及测试星链激光通信系统。其中最具突破性的是首次在太空完成人体X射线检查，验证了便携式医疗设备在深空任务中的可行性。此次任务由加密货币企业家Chun Wang全额资助2亿美元，标志着商业航天从观光服务向科研平台转型。未来极地轨道可部署通信卫星和气象观测站，SpaceX计划以此为基础继续推进火星殖民计划，为人类深空探索积累关键技术。相关企业应关注可复用火箭、太空医疗设备等领域的商业化机会。</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OpenAI要Open了，奥特曼开源首个推理模型，ChatGPT一小时暴增百万用户</w:t>
      </w:r>
    </w:p>
    <w:p>
      <w:pPr>
        <w:spacing w:line="278" w:lineRule="auto" w:after="160"/>
        <w:ind w:firstLine="560"/>
      </w:pPr>
      <w:r>
        <w:rPr>
          <w:rFonts w:ascii="仿宋" w:hAnsi="仿宋" w:eastAsia="仿宋"/>
          <w:sz w:val="28"/>
        </w:rPr>
        <w:t>OpenAI宣布将在未来几个月开源一款强大的推理模型，这是继GPT-2之后该公司首次开源新模型。该模型将采用MIT或Apache 2.0许可证，并已启动开发者意见收集流程，计划通过内测用户评估优化性能。OpenAI首席运营官Brad Lightcap表示，此次开源决策源于开发者和企业客户对定制化AI的强烈需求，该模型支持在消费级硬件上运行，并允许本地部署和数据控制。与此同时，OpenAI完成400亿美元新一轮融资，估值达3000亿美元，由软银领投。开源模型将扩大开发者对AI技术的访问权限，同时保持安全标准，预计将推动AI应用场景的多样化发展，企业可通过本地化部署实现更灵活的AI解决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4月新机大乱斗：大屏轻薄化、旗舰小屏化，影像也卷出不同方向了</w:t>
      </w:r>
    </w:p>
    <w:p>
      <w:pPr>
        <w:spacing w:line="278" w:lineRule="auto" w:after="160"/>
        <w:ind w:firstLine="560"/>
      </w:pPr>
      <w:r>
        <w:rPr>
          <w:rFonts w:ascii="仿宋" w:hAnsi="仿宋" w:eastAsia="仿宋"/>
          <w:sz w:val="28"/>
        </w:rPr>
        <w:t>OPPO近日发布Find X8系列旗舰手机，其中Find X8 Ultra搭载双潜望长焦方案和丹霞原彩镜头，主摄采用一英寸超大底传感器，电池容量较前代提升1000mAh以上；Find X8s则配备6.3英寸1.5K OLED直屏，首发天玑9400+芯片，支持80W有线快充。三星同期推出Galaxy S25 Edge超薄机型，机身厚度仅6.4mm，搭载骁龙8至尊版处理器和2亿像素主摄。vivo X200 Ultra则采用35mm原生焦段主摄，实现全焦段三镜OIS防抖。这些新机型反映出手机行业三大趋势：小屏旗舰配置趋近主流、大屏轻薄化设计普及，以及影像系统差异化发展。随着电池技术和芯片能效的提升，厂商能够在不牺牲体验的前提下实现更极致的机身设计，预计将推动2025年高端手机市场的多元化竞争。消费者可根据实际需求，在即将到来的新品潮中选择更适合自己的机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瑞士食品科技公司sallea研发细胞生长支架技术，用于生产带有纹理的整块细胞培养肉 | 瑞士创新100强</w:t>
      </w:r>
    </w:p>
    <w:p>
      <w:pPr>
        <w:spacing w:line="278" w:lineRule="auto" w:after="160"/>
        <w:ind w:firstLine="560"/>
      </w:pPr>
      <w:r>
        <w:rPr>
          <w:rFonts w:ascii="仿宋" w:hAnsi="仿宋" w:eastAsia="仿宋"/>
          <w:sz w:val="28"/>
        </w:rPr>
        <w:t>瑞士食品科技公司Sallea研发的细胞生长支架技术，通过创建高精度、多孔隙的可食用支架，解决了整块培养肉的生产难题。该技术采用植物蛋白、纤维素等食品级材料，可精确调控支架的孔径、形状和营养成分，使细胞在三维空间中自然生长成具备自然纹理的牛排等产品。研究表明，与传统畜牧业相比，培养肉能减少93%空气污染和78%水资源消耗。Sallea已完成260万美元种子前轮融资，计划加速产品开发并与全球培养肉公司开展合作。该技术不仅可用于食品生产，还能应用于医疗组织再生和药物测试领域。随着培养肉市场预计在2030年达到3700亿美元规模，这项技术将为可持续食品生产提供重要解决方案，推动行业向环保高效方向转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OpenAI重新开源，第一弹就推理模型，还不限制商用，“冲着DeepSeek来的”</w:t>
      </w:r>
    </w:p>
    <w:p>
      <w:pPr>
        <w:spacing w:line="278" w:lineRule="auto" w:after="160"/>
        <w:ind w:firstLine="560"/>
      </w:pPr>
      <w:r>
        <w:rPr>
          <w:rFonts w:ascii="仿宋" w:hAnsi="仿宋" w:eastAsia="仿宋"/>
          <w:sz w:val="28"/>
        </w:rPr>
        <w:t>OpenAI宣布三大突破性进展：首先开源具备推理能力的大语言模型，允许开发者自由使用和修改，此举直接对标DeepSeek-R1；其次完成400亿美元融资，创科技企业单轮融资纪录，估值达3000亿美元，资金将用于技术研发和基础设施扩建；最后ChatGPT用户增速创新高，1小时新增100万用户，周活跃用户达5亿。其中180亿美元将投入"星际之门"AI数据中心项目。开源模型预计数月内发布，将进行安全评估并提供商用许可，无用户规模限制。这些举措将加速AI技术普及，企业需关注开源模型应用机会，开发者应积极参与模型优化，同时行业需应对算力需求激增的挑战。</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速腾聚创2024年报：净亏损收窄，继续高增长</w:t>
      </w:r>
    </w:p>
    <w:p>
      <w:pPr>
        <w:spacing w:line="278" w:lineRule="auto" w:after="160"/>
        <w:ind w:firstLine="560"/>
      </w:pPr>
      <w:r>
        <w:rPr>
          <w:rFonts w:ascii="仿宋" w:hAnsi="仿宋" w:eastAsia="仿宋"/>
          <w:sz w:val="28"/>
        </w:rPr>
        <w:t>速腾聚创2024年激光雷达销量达54.42万台，市占率全球第一，同比增长109.6%，实现营收16.5亿元。该公司全年研发投入6.2亿元，其中41%用于机器人及AI创新业务，已推出Active Camera机器视觉产品和灵巧手等核心部件。在激光雷达领域，速腾聚创率先量产全数字化产品，并推出售价低于200美元的MX型号推动智驾普及，同时发布全球首款1080线超长距激光雷达EM4。尽管全年净亏损3.96亿元，但毛利率提升至17.2%，现金流储备达34亿元。随着激光雷达在15万元以下车型加速渗透，以及机器人业务的拓展，速腾聚创预计2026年实现盈利，其技术领先优势和多元化布局将推动在智能驾驶和机器人领域的持续增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陈立武执掌英特尔“第一把火”：挖人才、砍业务，刀刃向内</w:t>
      </w:r>
    </w:p>
    <w:p>
      <w:pPr>
        <w:spacing w:line="278" w:lineRule="auto" w:after="160"/>
        <w:ind w:firstLine="560"/>
      </w:pPr>
      <w:r>
        <w:rPr>
          <w:rFonts w:ascii="仿宋" w:hAnsi="仿宋" w:eastAsia="仿宋"/>
          <w:sz w:val="28"/>
        </w:rPr>
        <w:t>英特尔新任CEO陈立武在Vision大会上宣布将重点推进晶圆代工和产品创新两大战略。Intel 18A制程节点进展顺利，首个外部客户流片即将完成，预计下半年随Panther Lake处理器实现量产。在AI领域，英特尔将采用软件优先和AI驱动系统设计的新方法，开发针对特定工作负载的定制x86芯片。数据中心方面将强化产品服务并招募顶尖人才，同时通过优化EDA合作伙伴生态系统提升代工业务竞争力。陈立武表示，英特尔将剥离非核心业务，建立"一次做对"的质量文化，计划通过技术创新在未来几年成为领先的晶圆代工厂。这一转型将增强英特尔在AI计算时代的竞争力，并为全球芯片供应链提供更可靠的美国本土制造选择。</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芯片，怎么办？</w:t>
      </w:r>
    </w:p>
    <w:p>
      <w:pPr>
        <w:spacing w:line="278" w:lineRule="auto" w:after="160"/>
        <w:ind w:firstLine="560"/>
      </w:pPr>
      <w:r>
        <w:rPr>
          <w:rFonts w:ascii="仿宋" w:hAnsi="仿宋" w:eastAsia="仿宋"/>
          <w:sz w:val="28"/>
        </w:rPr>
        <w:t>台积电N2开发团队在IEDM大会上展示了其2纳米逻辑平台技术，采用纳米片晶体管取代FinFET结构，实现了15%的速度提升、30%的功耗降低及1.15倍的面积优化。该技术通过NanoFlex单元设计实现性能与功耗的灵活平衡，并在0.6V低电压下表现出20%的能效提升。团队还通过铜互连工艺将线路中间层能效提高55%，SRAM密度达到38.1Mb/mm²，预计2025年下半年量产。该技术将显著推动AI、移动计算和HPC领域发展，为芯片性能与能效设定新标准，相关企业需加快适配这一先进制程以保持竞争力。</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