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智能驾驶水面之下，“AI推理之争”暗流涌动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OpenAI联合创始人Ilya Sutskever在NeurIPS大会上指出，AI发展正从预训练转向深度推理阶段。巴克莱报告显示，AI推理计算需求将占通用人工智能总计算需求的70%以上，达到训练计算需求的4.5倍。谷歌DeepMind推出的RT-2和Waymo开发的EMMA等VLA（视觉-语言-动作）模型，通过整合多模态信息实现3D空间理解与行为生成，将自动驾驶的推理能力从7秒提升至数十秒。理想汽车发布的MindVLA自动驾驶架构计划于2026年量产，该技术可处理复杂交通场景并支持自然语言交互。当前VLA模型面临数据闭环和实时响应挑战，需要海量驾驶数据与强大算力支持。随着多模态推理技术发展，该技术将重塑智能驾驶行业格局，具备数据和技术优势的车企将获得市场主导权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英特尔新任CEO陈立武：组建顶尖团队“纠错”，希望成为伟大的晶圆厂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英特尔新任CEO陈立武在Vision 2025大会上宣布将推动公司向"全球顶尖代工厂"转型，核心策略包括18A工艺节点进展和人才战略。18A工艺即将进行首次外部流片，预计下半年通过Panther Lake芯片实现量产，而台积电同期将投资3200亿元建设2nm产线。陈立武基于在Cadence和风险投资领域的经验，计划重塑英特尔工程文化，重点保留顶尖人才，其投资履历显示操盘过251笔半导体投资，43家成功上市。该转型将增强英特尔在AI芯片和代工市场的竞争力，但需应对台积电等对手的技术追赶，关键在于能否如期实现18A量产并重建客户信任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OpenAI要Open了，奥特曼开源首个推理模型，ChatGPT一小时暴增百万用户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OpenAI宣布将在未来几个月开源一款强大的推理模型，这是自GPT-2后该公司首个开源项目。该模型预计采用MIT或Apache 2.0许可证，并已开始收集开发者反馈以优化性能。OpenAI首席运营官Brad Lightcap表示，开源决定源于开发者和企业客户对定制化AI解决方案的需求增长，该模型支持在消费级硬件上运行，允许用户进行本地部署和微调。与此同时，OpenAI完成400亿美元融资，估值达3000亿美元，由软银领投。开源模型将扩大开发者对AI技术的访问权限，同时保持安全标准，预计将推动AI技术在更多场景的应用和创新。企业可通过定制化部署提升效率，开发者则能基于该模型构建多样化AI产品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脑机接口迎来“DeepSeek时刻”了吗？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我国自主研发的"北脑一号"半侵入式脑机接口在天坛医院等三家医疗机构完成3例人体植入手术，患者状态良好。该技术单字解码时延小于100毫秒，成功帮助渐冻症患者重建交流能力，标志着我国在无线皮层脑机接口领域取得突破。国家医保局已专门设立脑机接口医疗服务价格项目，为技术商业化铺平道路。该技术未来将主要应用于神经康复领域，帮助瘫痪者恢复行动能力或失语者重建语言功能。随着政策支持和临床验证推进，脑机接口有望在医疗领域实现规模化应用，但需进一步降低技术成本并完善伦理规范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朱啸虎质疑的AI壁垒，字节早就给出过答案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字节跳动在2012年推出今日头条时，通过算法推荐技术颠覆了传统新闻行业的编辑推荐模式。该产品抓住智能手机换机潮的红利，通过手机预装（初期成本仅0.4元/台）和地推活动快速获取用户，三个月内即突破1000万用户。其首创的创作者分红机制吸引大量内容生产者入驻，2017年平台月活已达2.19亿，广告收入150亿元。这种"技术+运营+时机"的组合创新形成了竞争壁垒，使后来者难以复制。当前AI创业者可借鉴其经验，需聚焦技术颠覆性创新，同时重视市场运营和时代机遇的把握，才能在巨头环伺的环境中突围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瑞士食品科技公司sallea研发细胞生长支架技术，用于生产带有纹理的整块细胞培养肉 | 瑞士创新100强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瑞士食品科技公司Sallea研发的细胞生长支架技术，通过创建高精度、多孔隙的可食用支架，解决了培养肉行业难以生产整块肉的技术瓶颈。该技术采用植物蛋白、纤维素等食品级材料，可精确控制支架的孔径和结构，使细胞在三维空间中自然生长成具有自然纹理的牛排等产品。2024年数据显示，该技术已获得260万美元种子前轮融资，并入选《瑞士创新100强》。与传统畜牧业相比，培养肉可减少93%空气污染和78%水资源消耗，预计2030年市场规模将达3700亿美元。该技术还可应用于医疗组织再生和药物测试领域。随着全球对可持续蛋白需求的增长，Sallea的技术将推动培养肉产业升级，企业应加快技术商业化进程以满足市场需求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OpenAI重新开源，第一弹就推理模型，还不限制商用，“冲着DeepSeek来的”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OpenAI近期宣布三大关键进展：首先开源具备推理能力的大语言模型权重，这是继GPT-2后时隔6年再次开源核心模型，开发者可自由使用并参与改进；其次完成400亿美元融资，创下科技企业单轮融资纪录，估值达3000亿美元，资金将用于技术研发和基础设施扩建；最后ChatGPT用户增速创新高，受GPT-4o图像生成功能推动，单小时新增用户达100万，周活跃用户已达5亿。这些举措将显著增强OpenAI的技术领先优势，开源策略可能改变行业竞争格局，企业需加快技术迭代以应对新的市场环境，同时投资者可关注其商业化应用的拓展空间。</w:t>
      </w:r>
    </w:p>
    <w:p>
      <w:pPr>
        <w:pStyle w:val="Heading2"/>
        <w:spacing w:line="278" w:lineRule="auto" w:after="160"/>
      </w:pPr>
      <w:r>
        <w:rPr>
          <w:rFonts w:ascii="Wingdings 2" w:hAnsi="Wingdings 2" w:eastAsia="Wingdings 2"/>
          <w:color w:val="000000"/>
        </w:rPr>
        <w:t>¸</w:t>
      </w:r>
      <w:r>
        <w:rPr>
          <w:rFonts w:ascii="仿宋" w:hAnsi="仿宋" w:eastAsia="仿宋"/>
          <w:b/>
          <w:color w:val="000000"/>
          <w:sz w:val="28"/>
        </w:rPr>
        <w:t xml:space="preserve"> 速腾聚创2024年报：净亏损收窄，继续高增长</w:t>
      </w:r>
    </w:p>
    <w:p>
      <w:pPr>
        <w:spacing w:line="278" w:lineRule="auto" w:after="160"/>
        <w:ind w:firstLine="560"/>
      </w:pPr>
      <w:r>
        <w:rPr>
          <w:rFonts w:ascii="仿宋" w:hAnsi="仿宋" w:eastAsia="仿宋"/>
          <w:sz w:val="28"/>
        </w:rPr>
        <w:t>速腾聚创2024年激光雷达销量达54.42万台，同比增长109.6%，以16.5亿元营收保持市场领先地位。该公司通过全数字化激光雷达技术实现产品快速迭代，新品开发周期缩短至三个月，并推出售价低于200美元的MX产品推动智驾普及。创新业务聚焦机器人领域，投入2.5亿元研发"机器眼"AC1和灵巧手等产品，已与全球10余家人形机器人企业建立合作。尽管全年净亏损3.96亿元，但毛利率提升至17.2%，现金流储备达34亿元。随着L3级自动驾驶商用加速和海外市场拓展，速腾聚创有望在2026年实现盈利，其技术平权策略将持续推动行业成本下降与市场扩容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