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维他动力种子轮融资2亿元，今年底发布首款消费级机器人产品</w:t>
      </w:r>
    </w:p>
    <w:p>
      <w:pPr>
        <w:spacing w:line="278" w:lineRule="auto" w:after="160"/>
        <w:ind w:firstLine="560"/>
      </w:pPr>
      <w:r>
        <w:rPr>
          <w:rFonts w:ascii="仿宋" w:hAnsi="仿宋" w:eastAsia="仿宋"/>
          <w:sz w:val="28"/>
        </w:rPr>
        <w:t>维他动力（Vita Dynamics）近期完成2亿元种子+轮融资，由今日资本、凯辉基金等领投。该公司专注于生活空间智能机器人研发，依托中国成熟的电池电驱产业链和人工智能人才优势，通过端到端VLA模型突破环境感知与任务决策技术，开发具备自然交互和自主移动能力的机器人产品。其首款智能伴随机器人预计2024年底推出，主打户外场景的空间移动能力，同时正在研发针对室内场景的智能家务机器人。创始人余轶南表示，本轮融资将加速产品研发和供应链建设。这些产品有望降低服务成本，推动具身智能的普惠化发展，未来或将在家庭服务、养老护理等领域形成规模化应用。企业需持续优化软硬件协同能力，而消费者可期待更智能的家居生活解决方案。</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维他动力种子轮融资2亿元，今年底发布首款消费级机器人产品</w:t>
      </w:r>
    </w:p>
    <w:p>
      <w:pPr>
        <w:spacing w:line="278" w:lineRule="auto" w:after="160"/>
        <w:ind w:firstLine="560"/>
      </w:pPr>
      <w:r>
        <w:rPr>
          <w:rFonts w:ascii="仿宋" w:hAnsi="仿宋" w:eastAsia="仿宋"/>
          <w:sz w:val="28"/>
        </w:rPr>
        <w:t>维他动力（Vita Dynamics）近期完成2亿元种子+轮融资，由今日资本、凯辉基金领投。该公司专注于生活空间智能机器人研发，依托中国成熟的电池电驱产业链和人工智能人才储备，通过端到端VLA模型提升机器人的环境感知与任务决策能力。其首款智能伴随机器人预计2024年底推出，具备自主移动功能；同时开发智能家务机器人，强化室内操作能力。创始人余轶南表示，本轮资金将用于产品研发、团队扩建和供应链建设。该技术有望降低服务成本，实现家庭照护普惠化，推动机器人产业向"中国创造"转型。企业需持续优化软硬件协同，加速产品市场化进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不是CG？没加速？这个国产机器人跳「斧头帮」舞火了，网友：流畅到不像真的</w:t>
      </w:r>
    </w:p>
    <w:p>
      <w:pPr>
        <w:spacing w:line="278" w:lineRule="auto" w:after="160"/>
        <w:ind w:firstLine="560"/>
      </w:pPr>
      <w:r>
        <w:rPr>
          <w:rFonts w:ascii="仿宋" w:hAnsi="仿宋" w:eastAsia="仿宋"/>
          <w:sz w:val="28"/>
        </w:rPr>
        <w:t>众擎机器人（深圳市众擎机器人科技有限公司）推出轻量级人形机器人PM01，该机器人身高1.38米，体重40千克，具备24个自由度，能以2m/s的速度移动并完成高难度舞蹈动作。其核心技术包括全栈自研的具身智能和运控算法，近期在深圳人才公园以12km/h的速度奔跑引发关注。此外，众擎还开发了采用航空级铝合金的SE01机器人，实现拟人自然步态，以及售价3.85万元的开源平台SA01系列。这些成果显示国内企业在人形机器人领域的快速突破。随着技术进步，人形机器人将在服务、教育等领域发挥更大作用，企业需持续优化产品性能并拓展应用场景以满足市场需求。</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加速精准医疗，开源GNN实现分子精准建模，质谱识别准确率提升至49%</w:t>
      </w:r>
    </w:p>
    <w:p>
      <w:pPr>
        <w:spacing w:line="278" w:lineRule="auto" w:after="160"/>
        <w:ind w:firstLine="560"/>
      </w:pPr>
      <w:r>
        <w:rPr>
          <w:rFonts w:ascii="仿宋" w:hAnsi="仿宋" w:eastAsia="仿宋"/>
          <w:sz w:val="28"/>
        </w:rPr>
        <w:t>德国联邦材料研究与测试研究所（BAM）与柏林自由大学团队开发的开源图神经网络FIORA，通过模拟串联质谱中的键断裂过程，显著提升了化合物鉴定准确率。该模型利用GPU加速，能预测碎离子概率、保留时间和碰撞截面等关键参数，在测试中比现有最优算法CFM-ID和ICEBERG的预测准确率高出10%-49%。FIORA的创新在于采用局部邻域分析单个键解离事件，其模块化设计可兼容不同深度学习架构，对结构差异大的化合物仍保持0.8以上的中位余弦相似度。该技术已开源发布，将有效解决代谢组学研究中参考光谱不足的难题，推动精准医学和生物标志物发现，研究人员建议将其与现有光谱库结合使用以最大化应用价值。</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Pepper之父又造了个AI外星娃，售价3万美金！比爱马仕实用多了</w:t>
      </w:r>
    </w:p>
    <w:p>
      <w:pPr>
        <w:spacing w:line="278" w:lineRule="auto" w:after="160"/>
        <w:ind w:firstLine="560"/>
      </w:pPr>
      <w:r>
        <w:rPr>
          <w:rFonts w:ascii="仿宋" w:hAnsi="仿宋" w:eastAsia="仿宋"/>
          <w:sz w:val="28"/>
        </w:rPr>
        <w:t>法国机器人公司Enchanted Tools推出社交机器人Mirokaï，该产品由动画公司Gaumont设计3D面部表情，并采用英伟达GPU实时渲染技术实现全息效果。Mirokaï身高1.3米，配备可对生拇指设计的手部结构，抓取成功率达97%，远超行业60%的标准。其独特的360度滚动运动系统由三个马达驱动，目前已应用于医院、酒店等场景，完成送药、送餐等任务。该机器人集成生成式AI技术，可实现环境感知和自适应操作，售价3万美元，今年计划量产200台。作为兼具实用性和交互性的新一代社交机器人，Mirokaï有望在服务行业实现规模化应用，推动人机交互体验升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华为昇腾适配阶跃星辰Step-Video和Step-Audio开源大模型，上线魔乐社区</w:t>
      </w:r>
    </w:p>
    <w:p>
      <w:pPr>
        <w:spacing w:line="278" w:lineRule="auto" w:after="160"/>
        <w:ind w:firstLine="560"/>
      </w:pPr>
      <w:r>
        <w:rPr>
          <w:rFonts w:ascii="仿宋" w:hAnsi="仿宋" w:eastAsia="仿宋"/>
          <w:sz w:val="28"/>
        </w:rPr>
        <w:t>阶跃星辰近日推出Step-Video视频生成和Step-Audio语音交互两款开源多模态大模型，已在魔乐社区等平台上线。其中Step-Video-T2V是全球参数量最大的开源视频生成模型，拥有300亿参数，可生成204帧540P分辨率视频，在指令遵循、运动平滑性等关键指标上超越现有开源模型；Step-Audio则是业内首款产品级开源语音模型，支持多情感、多方言的语音生成。这两款模型基于华为昇腾架构优化，开发者可通过魔乐社区等平台直接体验。目前阿里云、TCL等企业已接入该生态，预计将推动视频创作、智能终端等领域的创新应用。企业可通过接入开源生态快速获得AI能力，开发者则可利用免费算力资源进行方案验证，加速AI技术落地。</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多中心医学图像分析模型，VFMGL框架破解数据孤岛难题，93.4% Dice系数的卓越表现</w:t>
      </w:r>
    </w:p>
    <w:p>
      <w:pPr>
        <w:spacing w:line="278" w:lineRule="auto" w:after="160"/>
        <w:ind w:firstLine="560"/>
      </w:pPr>
      <w:r>
        <w:rPr>
          <w:rFonts w:ascii="仿宋" w:hAnsi="仿宋" w:eastAsia="仿宋"/>
          <w:sz w:val="28"/>
        </w:rPr>
        <w:t>桂林航空航天大学与江门市中心医院联合研发的VFMGL框架，通过联邦学习技术实现医疗数据的隐私保护与跨机构协作，在乳腺癌转移识别中达到97.15%的准确率，前列腺MRI分割中显著降低误判率。该框架将模型参数压缩至原始大小的1/8，计算量减少至1/12，已在私有和三个公共数据集验证其有效性。其创新性在于采用DDBL方法筛选低异质性数据，结合知识蒸馏技术提升跨中心泛化能力。该技术有望推动医疗AI的临床落地，医疗机构可通过部署该框架在保障数据安全前提下提升诊疗效率，研发团队建议进一步探索特征优化以持续提升模型性能。</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DeepSeek关键RL算法GRPO，有人从头跑通了，贡献完整代码</w:t>
      </w:r>
    </w:p>
    <w:p>
      <w:pPr>
        <w:spacing w:line="278" w:lineRule="auto" w:after="160"/>
        <w:ind w:firstLine="560"/>
      </w:pPr>
      <w:r>
        <w:rPr>
          <w:rFonts w:ascii="仿宋" w:hAnsi="仿宋" w:eastAsia="仿宋"/>
          <w:sz w:val="28"/>
        </w:rPr>
        <w:t>DeepSeek团队开发的GRPO（Group Relative Policy Optimization）算法通过组内样本相对比较计算策略梯度，取代了传统强化学习中的价值函数近似，有效提升了训练稳定性和学习效率。该技术已成功应用于DeepSeek-R1和R1-Zero模型的微调，使其在数学和逻辑问题求解方面表现优异。AI工程师Andriy Burkov基于Qwen2.5-1.5B-Instruct模型实现了分布式GRPO训练流程，使用PyTorch、Hugging Face Transformers等工具构建完整训练管道。实验数据显示，经过500步GRPO微调后，模型在GSM8K数学问题数据集上的准确率从23.33%提升至90%。这项技术为语言模型的强化学习微调提供了高效解决方案，未来可通过模型并行技术扩展到更大规模模型的训练，在智能教育、自动编程等领域具有广阔应用前景。</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具身智能：以语料为翼，飞抵新高度</w:t>
      </w:r>
    </w:p>
    <w:p>
      <w:pPr>
        <w:spacing w:line="278" w:lineRule="auto" w:after="160"/>
        <w:ind w:firstLine="560"/>
      </w:pPr>
      <w:r>
        <w:rPr>
          <w:rFonts w:ascii="仿宋" w:hAnsi="仿宋" w:eastAsia="仿宋"/>
          <w:sz w:val="28"/>
        </w:rPr>
        <w:t>库帕思科技通过与金融机构和教育企业合作，构建了专业化的金融和教育语料库，提升了AI在垂直领域的应用效果。该公司在多模态语料处理技术上取得突破，能高效整合文本、图像、音频等数据，为多模态AI应用提供支持。2024年10月，库帕思科技参与制定了全国首批人形机器人具身智能标准，包括《人形机器人分类分级应用指南》和《具身智能智能化发展阶段分级指南》两项团体标准。在漕河泾开发区，人形机器人创新孵化器聚集了大量具身智能企业，通过先进传感器和强化学习算法提升智能体的环境适应性。这些技术成果将推动AI在金融、教育、工业制造等领域的实际应用，相关企业应加强跨领域合作，共同推进技术标准化和产业化进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大模型扩展新维度：Scaling Down、Scaling Out</w:t>
      </w:r>
    </w:p>
    <w:p>
      <w:pPr>
        <w:spacing w:line="278" w:lineRule="auto" w:after="160"/>
        <w:ind w:firstLine="560"/>
      </w:pPr>
      <w:r>
        <w:rPr>
          <w:rFonts w:ascii="仿宋" w:hAnsi="仿宋" w:eastAsia="仿宋"/>
          <w:sz w:val="28"/>
        </w:rPr>
        <w:t>悉尼大学计算机学院徐畅副教授团队提出AI Scaling新框架，包含模型扩容（Scaling Up）、精简（Scaling Down）和外扩（Scaling Out）三个维度。该研究通过剪枝、量化和知识蒸馏技术实现模型轻量化，在DeepSeek-V3等案例中验证了计算成本可降低40%；同时采用联邦学习和参数高效微调技术构建分布式AI生态系统。该成果已形成开源框架并在arXiv发表（论文编号2502.01677），其轻量化方案可使模型在移动设备的推理速度提升3倍。这一技术体系将推动AI从集中式开发转向分布式应用，为医疗、农业等领域的低成本AI部署提供解决方案，建议行业关注模型轻量化与边缘计算的结合应用。</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两万字长文深度解密DeepSeek-R1、Kimi 1.5，强推理模型凭什么火出圈？</w:t>
      </w:r>
    </w:p>
    <w:p>
      <w:pPr>
        <w:spacing w:line="278" w:lineRule="auto" w:after="160"/>
        <w:ind w:firstLine="560"/>
      </w:pPr>
      <w:r>
        <w:rPr>
          <w:rFonts w:ascii="仿宋" w:hAnsi="仿宋" w:eastAsia="仿宋"/>
          <w:sz w:val="28"/>
        </w:rPr>
        <w:t>DeepSeek团队基于671B参数的MoE架构基座模型DeepSeek-v3，创新性地采用纯强化学习方法开发出DeepSeek-R1系列模型。该技术突破性地跳过了传统监督微调阶段，通过规则化奖励机制（包括准确率奖励和格式奖励）和大规模强化学习（采用GRPO算法）直接激活基座模型的推理潜力。核心成果显示，R1在数学推理任务AIME2024上达到79.8%的准确率，超越OpenAI o1模型，同时在代码生成和科学问答任务中展现专家水平。该技术已实现商业化应用，通过API服务赋能多个行业的智能化转型。未来随着多模态扩展和应用场景深化，这种强化学习驱动的"慢思考"范式将重塑AI技术发展路径，建议企业重点关注其API生态布局和垂直领域适配方案。</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字节最新OmniHuman数字人模型即将上线即梦</w:t>
      </w:r>
    </w:p>
    <w:p>
      <w:pPr>
        <w:spacing w:line="278" w:lineRule="auto" w:after="160"/>
        <w:ind w:firstLine="560"/>
      </w:pPr>
      <w:r>
        <w:rPr>
          <w:rFonts w:ascii="仿宋" w:hAnsi="仿宋" w:eastAsia="仿宋"/>
          <w:sz w:val="28"/>
        </w:rPr>
        <w:t>字节跳动旗下即梦AI团队发布了自研多模态视频生成模型OmniHuman，该技术通过输入单张图片和音频即可生成匹配口型与动作的AI视频，支持肖像、半身及全身尺寸输入，在演讲、唱歌等场景中显著改善了手势崩坏问题。演示数据显示，该模型对动漫和3D卡通等非真人素材也保持良好风格一致性。目前该技术已具备较高自然度，但影视级视频生成仍有优化空间，将以小范围内测形式逐步开放，并设置水印标注和审核机制防范滥用。该技术将显著提升短视频创作效率，为内容创作者提供新工具，同时需要行业共同规范AI技术的应用边界。</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腾讯云TI平台支持DeepSeek系列模型，开发者可免费体验、一键部署</w:t>
      </w:r>
    </w:p>
    <w:p>
      <w:pPr>
        <w:spacing w:line="278" w:lineRule="auto" w:after="160"/>
        <w:ind w:firstLine="560"/>
      </w:pPr>
      <w:r>
        <w:rPr>
          <w:rFonts w:ascii="仿宋" w:hAnsi="仿宋" w:eastAsia="仿宋"/>
          <w:sz w:val="28"/>
        </w:rPr>
        <w:t>腾讯云TI平台近日上架DeepSeek系列大模型，包括参数量达671B的V3、R1原版模型及70B至1.5B的蒸馏版本。该平台提供一键部署功能，并限时开放R1模型的免费在线体验，支持开发者快速接入实际业务。DeepSeek-R1采用强化学习技术，在数学、代码等任务上性能媲美OpenAI o1，其开源的MIT License允许用户通过蒸馏技术训练衍生模型。其中DeepSeek-V3在主流榜单中位列开源模型榜首，推理速度较前代显著提升。平台针对不同规模模型提供差异化部署方案，如671B参数模型推荐使用2台8卡服务器，而1.5B参数模型仅需单张中端GPU。应用层面，该技术已助力自动驾驶企业实现40%的训练性能提升，预计将在金融、医疗等行业进一步推动AI应用落地。企业可根据业务复杂度选择模型版本，平衡推理效果与成本效益。</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Go语言开发AI智能体有多丝滑？字节重磅开源Eino框架，内含保姆级教程</w:t>
      </w:r>
    </w:p>
    <w:p>
      <w:pPr>
        <w:spacing w:line="278" w:lineRule="auto" w:after="160"/>
        <w:ind w:firstLine="560"/>
      </w:pPr>
      <w:r>
        <w:rPr>
          <w:rFonts w:ascii="仿宋" w:hAnsi="仿宋" w:eastAsia="仿宋"/>
          <w:sz w:val="28"/>
        </w:rPr>
        <w:t>字节跳动开源的大模型应用开发框架Eino通过组件化设计和灵活编排机制，显著降低了AI应用开发门槛。该框架采用类似足球战术的节点-边编排模式，支持Chain和Graph两种核心编排方式，并内置流式数据处理能力，可自动完成数据拼接和转换。Eino已应用于豆包、抖音等产品，其可视化开发工具EinoDev能提升30%开发效率。测试数据显示，基于Eino构建的智能助手任务处理准确率达92%，响应时间缩短40%。该技术将推动AI应用开发标准化，企业可通过组件复用和流程优化快速部署AI解决方案，建议开发者重点关注其编排能力和行业适配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字节跳动BitsAI-CR：基于LLM的代码审查系统技术揭秘</w:t>
      </w:r>
    </w:p>
    <w:p>
      <w:pPr>
        <w:spacing w:line="278" w:lineRule="auto" w:after="160"/>
        <w:ind w:firstLine="560"/>
      </w:pPr>
      <w:r>
        <w:rPr>
          <w:rFonts w:ascii="仿宋" w:hAnsi="仿宋" w:eastAsia="仿宋"/>
          <w:sz w:val="28"/>
        </w:rPr>
        <w:t>字节跳动研发团队推出代码审查系统BitsAI-CR，该系统采用"识别+验证"两阶段架构，通过RuleChecker模块基于219条多维审查规则生成审查评论，并由ReviewFilter模块进行二次验证。该系统在服务1.2万周活开发者的实际应用中，实现75%的审查准确率与26.7%的评论过时率，接近人工审查水平。用户调研显示74.5%的开发者认可其价值。该系统通过数据飞轮机制持续优化规则集，18周内将准确率从25%提升至75%。该成果展示了AI在提升软件开发效率方面的潜力，建议企业关注AI辅助开发工具的应用，同时持续优化系统以适应实际开发需求。</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完整的671B MoE DeepSeek R1怎么塞进本地化部署？详尽教程大放送！</w:t>
      </w:r>
    </w:p>
    <w:p>
      <w:pPr>
        <w:spacing w:line="278" w:lineRule="auto" w:after="160"/>
        <w:ind w:firstLine="560"/>
      </w:pPr>
      <w:r>
        <w:rPr>
          <w:rFonts w:ascii="仿宋" w:hAnsi="仿宋" w:eastAsia="仿宋"/>
          <w:sz w:val="28"/>
        </w:rPr>
        <w:t>伦敦大学学院（UCL）李锡涵团队与Unsloth AI合作，通过动态量化技术实现了DeepSeek R1 671B大模型的本地部署优化。该技术对模型关键层采用4-6bit高质量量化，对混合专家层（MoE）采用1-2bit量化，将原720GB模型压缩至最小131GB（1.58-bit），在单台Mac Studio上即可运行。测试显示，1.73-bit量化版本在四路RTX 4090配置下生成速度达7-8 token/秒，性能显著优于蒸馏版模型。该技术大幅降低了企业级大模型的本地部署门槛，使定制化AI应用成为可能。建议企业根据硬件条件选择合适量化版本，重点关注短文本生成等轻量级应用场景，同时持续优化内存带宽等硬件配置以提升运行效率。</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成功率达100%，上交团队提出AI辅助的酶热稳定性工程策略，设计热稳定性的组合突变体</w:t>
      </w:r>
    </w:p>
    <w:p>
      <w:pPr>
        <w:spacing w:line="278" w:lineRule="auto" w:after="160"/>
        <w:ind w:firstLine="560"/>
      </w:pPr>
      <w:r>
        <w:rPr>
          <w:rFonts w:ascii="仿宋" w:hAnsi="仿宋" w:eastAsia="仿宋"/>
          <w:sz w:val="28"/>
        </w:rPr>
        <w:t>上海交通大学生命科学技术学院杨广宇研究员团队开发了一种基于蛋白质语言模型（Pro-PRIME）的AI辅助酶热稳定性优化策略。该模型通过9600万组细菌生长温度数据训练，并利用73个肌酸酶突变体数据进行微调，可精准预测组合突变体的稳定性和活性。实验显示，仅用两周时间完成两轮设计，成功获得50个热稳定性突变体，成功率100%。其中最佳突变体13M4包含13个位点，热稳定性提升10.19℃，58℃下半衰期增加655倍，同时保持催化活性。该方法通过动态相关矩阵分析揭示了突变体间的长程协同效应，例如K351E单点突变在高阶组合中呈现正向作用。该技术显著提升了蛋白质工程效率，可推广至工业酶分子优化领域，为生物制造提供更稳定的酶催化剂。相关企业可重点关注该技术的产业化应用，通过合作开发高温稳定酶制剂以降低生产成本。</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