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奢侈品拥抱 AI 背后：一场技术与场景的双向奔赴</w:t>
      </w:r>
    </w:p>
    <w:p>
      <w:pPr>
        <w:spacing w:line="278" w:lineRule="auto" w:after="160"/>
        <w:ind w:firstLine="560"/>
      </w:pPr>
      <w:r>
        <w:rPr>
          <w:rFonts w:ascii="仿宋" w:hAnsi="仿宋" w:eastAsia="仿宋"/>
          <w:sz w:val="28"/>
        </w:rPr>
        <w:t>全球最大奢侈品集团LVMH联合阿里云举办第二届AI实训营赛事，埃森哲团队开发的"AI导购"方案通过阿里云百炼平台实现智能推荐、穿搭建议等功能，将用户需求响应时间从90秒缩短至30秒。该方案采用"1+1+n"智能体中台架构，整合意图识别、多智能体协同等技术，支持跨品牌服务。亚军团队ARTEFACT开发的"SAIA"系统基于百万级社媒数据实现用户画像分析，将传统需2-3周的洞察过程缩短至1天。阿里云百炼平台提供全模态模型支持，包括文本、语音、图片等处理能力。这些AI解决方案已开始应用于LVMH线下门店，预计将提升30%的导购效率，同时保持奢侈品行业特有的服务温度。未来该技术有望在高端零售业推广，推动行业智能化转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鸿蒙电脑补齐鸿蒙生态重要版图，华为终端迎来了「全面鸿蒙」时代</w:t>
      </w:r>
    </w:p>
    <w:p>
      <w:pPr>
        <w:spacing w:line="278" w:lineRule="auto" w:after="160"/>
        <w:ind w:firstLine="560"/>
      </w:pPr>
      <w:r>
        <w:rPr>
          <w:rFonts w:ascii="仿宋" w:hAnsi="仿宋" w:eastAsia="仿宋"/>
          <w:sz w:val="28"/>
        </w:rPr>
        <w:t>华为在3月20日的发布会上宣布鸿蒙操作系统5的全新升级计划，推出首款全面搭载鸿蒙5的手机华为Pura X，并预告将于5月发布鸿蒙电脑。作为全球第三大移动操作系统，鸿蒙生态已拥有超过两万个应用及元服务，通过"技术中台"模式实现高效开发适配。鸿蒙5通过底层重构实现"一核多端"架构，支持手机、电脑、汽车等设备的深度协同，如办公场景下的文件"原子化流转"和家庭场景的AI主动健康管理。数据显示，鸿蒙智行车型2024年销量已达44.5万辆，验证了市场对鸿蒙生态的认可。未来，鸿蒙将通过全场景互联能力重塑数字生活体验，推动智能设备从单一功能向协同生态转型，为行业提供国产操作系统的成功范本。</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实测天猫家作：设计小白15分钟「伪造」家居商品大片</w:t>
      </w:r>
    </w:p>
    <w:p>
      <w:pPr>
        <w:spacing w:line="278" w:lineRule="auto" w:after="160"/>
        <w:ind w:firstLine="560"/>
      </w:pPr>
      <w:r>
        <w:rPr>
          <w:rFonts w:ascii="仿宋" w:hAnsi="仿宋" w:eastAsia="仿宋"/>
          <w:sz w:val="28"/>
        </w:rPr>
        <w:t>天猫推出的AI设计产品"家作"基于自研行业大模型，通过海量数据训练实现家居场景的智能生成，将商品图制作成本从每张400元降至0.35元。该产品在商品形变控制方面取得显著突破，将严重变异率从37.5%降至9.4%，并实现光影、材质等细节的物理规律还原。数据显示，使用该工具的商家在双11高峰期达2万家，部分店铺AI商品图点击率提升显著，带动单店成交额增长超195万元。该技术将重塑电商内容生产模式，商家可通过AI工具实现从商品展示到营销推广的全链路降本增效，推动行业向技术驱动转型。</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造车半年狂揽 320 亿，小米交出史上最强财报</w:t>
      </w:r>
    </w:p>
    <w:p>
      <w:pPr>
        <w:spacing w:line="278" w:lineRule="auto" w:after="160"/>
        <w:ind w:firstLine="560"/>
      </w:pPr>
      <w:r>
        <w:rPr>
          <w:rFonts w:ascii="仿宋" w:hAnsi="仿宋" w:eastAsia="仿宋"/>
          <w:sz w:val="28"/>
        </w:rPr>
        <w:t>小米集团在2024年实现总营收3659.1亿元，同比增长35%，其中汽车业务表现亮眼，首款车型SU7系列平均售价达23.4万元，第四季度毛利率达20.4%，超越理想和特斯拉。小米汽车通过核心零部件价格下降和规模效应实现成本优化，同时借助小米线下旗舰店的渠道优势，SU7上市一年后仍供不应求，提车周期长达37-40周。值得注意的是，汽车业务带动了手机销量增长，旗舰机型小米15 Ultra销量同比增长80%。在大家电领域，空调、冰箱和洗衣机出货量增速均超30%，其中空调增速达50%。尽管汽车业务尚未盈利，但亏损已从第三季度的15亿元收窄至第四季度的7亿元。随着年交付目标提升至35万辆，小米有望通过规模效应加速实现盈亏平衡。这一系列成果表明，小米正成功实现品牌高端化转型，其"硬件+汽车"的协同模式为科技企业跨界造车提供了可借鉴的路径。</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独家丨字节大模型全员会，朱文佳和吴永辉一起聊了方向、组织和开源</w:t>
      </w:r>
    </w:p>
    <w:p>
      <w:pPr>
        <w:spacing w:line="278" w:lineRule="auto" w:after="160"/>
        <w:ind w:firstLine="560"/>
      </w:pPr>
      <w:r>
        <w:rPr>
          <w:rFonts w:ascii="仿宋" w:hAnsi="仿宋" w:eastAsia="仿宋"/>
          <w:sz w:val="28"/>
        </w:rPr>
        <w:t>字节跳动豆包大模型部门（Seed）近期明确了以探索AI智能上限为核心目标，围绕"Seed Edge"AGI研究计划展开长期投入。该部门由朱文佳负责模型应用，吴永辉主导基础研究，计划为Edge项目提供充足算力支持，并取消季度考核以保障研究稳定性。在应用层面，团队聚焦问答、创作等核心场景优化，强调模型需兼具准确性和可解释性。部门同时推动技术开放，计划扩大内部资源共享，建立跨团队协作机制，并考虑开源中小型Dense模型。这些举措将提升字节在AI领域的技术竞争力，其开源计划有望推动行业技术进步，但需平衡商业机密保护与社区贡献的关系。</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从技术神话到应用落地：爆火的DeepSeek、Manus揭示了AI价值转化密码</w:t>
      </w:r>
    </w:p>
    <w:p>
      <w:pPr>
        <w:spacing w:line="278" w:lineRule="auto" w:after="160"/>
        <w:ind w:firstLine="560"/>
      </w:pPr>
      <w:r>
        <w:rPr>
          <w:rFonts w:ascii="仿宋" w:hAnsi="仿宋" w:eastAsia="仿宋"/>
          <w:sz w:val="28"/>
        </w:rPr>
        <w:t>Manus AI团队开发的通用型AI Agent近期引发行业热潮，其核心突破在于实现从对话交互到任务执行的跨越，可应用于智能客服、自动编程等场景。该团队产品负责人张涛透露，产品本为阶段性探索成果，却意外引发全球开发者社区开源复现浪潮。与此同时，DeepSeek推出的开源大模型R1以低成本优势迅速占领市场，在HuggingFace平台创下最快登顶记录，其成本仅为竞品的几十分之一。Anthropic提出的MCP协议则解决了AI与外部工具集成的标准化难题，配合其Claude模型在代码处理方面的优势，推动AI落地效率提升。据IDC预测，到2026年50%的中国500强企业将采用AI Agent进行数据管理。当前AI竞争焦点已转向应用落地，企业需重点构建数据战略与工具链整合能力，AWS等云服务商通过Bedrock等平台提供模型选型、数据治理等全链条服务，正成为推动AI商业化的重要力量。</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追觅，杀入大家电赛道</w:t>
      </w:r>
    </w:p>
    <w:p>
      <w:pPr>
        <w:spacing w:line="278" w:lineRule="auto" w:after="160"/>
        <w:ind w:firstLine="560"/>
      </w:pPr>
      <w:r>
        <w:rPr>
          <w:rFonts w:ascii="仿宋" w:hAnsi="仿宋" w:eastAsia="仿宋"/>
          <w:sz w:val="28"/>
        </w:rPr>
        <w:t>追觅科技凭借高速数字马达技术打破海外垄断，成为国内首家突破20万转/分钟的企业，并基于此技术开发出扫地机器人、洗地机等爆款产品，2024年以16.2%的线上市场份额成为中国清洁电器行业第一。该企业通过仿生机械臂、自升降激光雷达等创新技术解决清洁覆盖率问题，其2025年最新发布的具身智能大模型机械手已实现地面收纳功能。目前追觅产品覆盖全球100多个国家，在德国市场占有率超40%。依托马达技术和智能算法积累，追觅正进军空调、冰箱等大家电领域，构建全屋智能生态。天风数据显示，高性能、智能化家电需求持续增长，预计未来五年全球智能家电市场年复合增长率达17.4%。企业需持续加强技术研发，消费者可关注其跨品类智能联动产品带来的生活体验升级。</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当中国企业进入「国际化 3.0」，压力给到阿里云了</w:t>
      </w:r>
    </w:p>
    <w:p>
      <w:pPr>
        <w:spacing w:line="278" w:lineRule="auto" w:after="160"/>
        <w:ind w:firstLine="560"/>
      </w:pPr>
      <w:r>
        <w:rPr>
          <w:rFonts w:ascii="仿宋" w:hAnsi="仿宋" w:eastAsia="仿宋"/>
          <w:sz w:val="28"/>
        </w:rPr>
        <w:t>阿里云作为中国领先的云计算服务商，通过提供弹性计算、数据存储及AI服务等基础设施，支撑了极睿科技、小鹏汽车等企业的全球化拓展。极睿科技依托自研大模型和阿里云的技术支持，实现了电商全链路内容生产的智能化，目前已服务国内2000多家品牌客户，并计划在2025年加速海外市场布局。小鹏汽车则借助阿里云符合欧盟标准的数据合规服务，解决了智能汽车出海的隐私监管难题。据统计，阿里云已服务全球30多万客户，支持25万家中国企业出海，其中80%的中国科技公司依赖其云平台。这种"云原生国际化"模式通过封装算力、合规经验等核心能力，显著降低了企业全球化门槛。未来，随着AI算力需求年增超50%，云服务将进一步推动中国企业以技术为支点实现高效出海，而阿里云需持续优化多云支持及开源生态，巩固其作为全球化数字基础设施的关键角色。</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实测新版通义 APP：更好用的个人 AI 助理，需要什么？</w:t>
      </w:r>
    </w:p>
    <w:p>
      <w:pPr>
        <w:spacing w:line="278" w:lineRule="auto" w:after="160"/>
        <w:ind w:firstLine="560"/>
      </w:pPr>
      <w:r>
        <w:rPr>
          <w:rFonts w:ascii="仿宋" w:hAnsi="仿宋" w:eastAsia="仿宋"/>
          <w:sz w:val="28"/>
        </w:rPr>
        <w:t>阿里巴巴旗下通义团队近期升级了通义App，整合了最新开源的QwQ-32B大模型，并推出人格化智能体作为核心交互方式。QwQ-32B采用320亿参数架构，通过基础模型结合强化学习技术，在数学推理、编程等任务上达到与6710亿参数模型DeepSeek-R1相当的水平，同时显著降低了部署成本。该智能体系统通过多模型协同机制，针对不同任务调用通义千问系列中的专业模型（如Qwen2.5-MAX处理代码任务），配合全新的三页面交互设计（历史记录/智能体生态/核心功能）实现操作简化。实测显示其不仅能准确解答数学逻辑题，还能识别"父母婚礼"等陷阱问题，展现优于同类产品的复核能力。此次升级标志着阿里将大模型技术从实验室推向消费级市场的关键突破，预计将推动AI应用从工具型向"数字代理人"转型。企业用户可重点关注其定制化智能体开发功能，个人用户则能通过该平台获得整合化的AI服务入口，避免安装多个独立应用。</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千年宣纸拥抱新消费，「新质供给」开启非遗新潮流</w:t>
      </w:r>
    </w:p>
    <w:p>
      <w:pPr>
        <w:spacing w:line="278" w:lineRule="auto" w:after="160"/>
        <w:ind w:firstLine="560"/>
      </w:pPr>
      <w:r>
        <w:rPr>
          <w:rFonts w:ascii="仿宋" w:hAnsi="仿宋" w:eastAsia="仿宋"/>
          <w:sz w:val="28"/>
        </w:rPr>
        <w:t>安徽泾县红星宣纸厂作为国内最大的传统宣纸生产企业，通过保留108道古法工序与现代机械制浆相结合的方式，维持了"纸寿千年"的品质特性，其产品占据全国80%市场份额。面对市场变化，该企业2023年起积极转型，成立文创子公司并入驻拼多多等电商平台，通过开发机器宣纸等平价产品线实现月销量10万张，同时保持高端生宣2000元/刀的价格定位。当地新兴企业青戈则通过开发DIY对联纸等创新产品，以年轻化设计打开市场，其电商推广成本较其他平台低10%。这种传统工艺与现代商业模式的结合，不仅使宣纸产品受众从专业书画家拓展至普通练习者，更通过电商渠道将这一非遗产品的年销售额提升了30%，为传统文化产业的现代化转型提供了可行路径。</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机器人到来前，智能汽车可能是更早服务人类的 AI Agent</w:t>
      </w:r>
    </w:p>
    <w:p>
      <w:pPr>
        <w:spacing w:line="278" w:lineRule="auto" w:after="160"/>
        <w:ind w:firstLine="560"/>
      </w:pPr>
      <w:r>
        <w:rPr>
          <w:rFonts w:ascii="仿宋" w:hAnsi="仿宋" w:eastAsia="仿宋"/>
          <w:sz w:val="28"/>
        </w:rPr>
        <w:t>吉利汽车集团近日宣布完成"全域AI"智能化布局，通过与DeepSeek、阶跃星辰等AI企业合作，将智能驾驶模型的数据量提升至10亿级别视频片段，识别障碍物种类超过10万种。其核心成果包括：1）推出"千里浩瀚"智驾系统，最高配置搭载双英伟达Thor芯片，算力达2000TOPS，可实现L3级自动驾驶；2）建成星睿智算中心2.0，算力达23.5EFLOPS；3）智能座舱已实现L2级推理能力，能理解模糊指令并自主调节车内环境。目前该系统已覆盖吉利全系车型，其中顶配方案H9已实现120km/h的AEB自动刹停和双车道风险避让功能。这一布局将推动汽车从交通工具向智能管家转型，预计到2025年可降低30%的自动驾驶研发成本，同时提升15%的行车安全系数。车企需重点关注AI与车辆安全的深度融合，消费者则需适应新一代智能汽车的交互方式。</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不仅有能用国补的 MacBook Air，还有模型训练神器 Mac Studio</w:t>
      </w:r>
    </w:p>
    <w:p>
      <w:pPr>
        <w:spacing w:line="278" w:lineRule="auto" w:after="160"/>
        <w:ind w:firstLine="560"/>
      </w:pPr>
      <w:r>
        <w:rPr>
          <w:rFonts w:ascii="仿宋" w:hAnsi="仿宋" w:eastAsia="仿宋"/>
          <w:sz w:val="28"/>
        </w:rPr>
        <w:t>苹果公司近日发布了搭载M3 Ultra芯片的新款Mac Studio，该芯片配备最多32核CPU（24性能核+8能效核）和80核GPU，性能较M2 Ultra提升1.5倍，支持最高512GB统一内存。实测显示，该设备可在本地运行600B参数规模的大语言模型，其顶配版本（32核CPU+80核GPU+512GB内存）售价达108749元。开发者社区已证实，由8台Mac Studio组成的算力集群可支持671B参数模型的端侧部署。这款针对AI开发优化的设备将于3月12日正式发售，其高算力特性将显著降低开发者部署大模型的硬件门槛，推动端侧AI应用发展。建议开发者根据模型规模选择适当配置，同时关注苹果即将发布的Apple Intelligence生态适配进展。</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52 万的小米 SU7 Ultra，雷军把所有人都干懵了</w:t>
      </w:r>
    </w:p>
    <w:p>
      <w:pPr>
        <w:spacing w:line="278" w:lineRule="auto" w:after="160"/>
        <w:ind w:firstLine="560"/>
      </w:pPr>
      <w:r>
        <w:rPr>
          <w:rFonts w:ascii="仿宋" w:hAnsi="仿宋" w:eastAsia="仿宋"/>
          <w:sz w:val="28"/>
        </w:rPr>
        <w:t>小米集团在2024年双Ultra发布会上展示了其高端化转型成果，其中小米SU7 Ultra凭借1548匹马力、1.98秒零百加速和359km/h极速等性能参数，在德国纽博格林赛道及国内四大赛道刷新纪录，并以52.99万元起售价实现10分钟6900台订单。手机业务方面，小米15 Ultra搭载索尼LYT-900一英寸主摄和双卫星通信技术，起售价6499元。2024年小米汽车累计交付13.5万辆，股价累计上涨121%。这些突破性产品印证了小米"性能对标保时捷、科技追赶特斯拉"的高端定位，其智能驾驶系统已积累超1000万场景数据，11.45EFLOPS算力支撑下计划4月推出最高300万元赔付的智驾保险。随着SU7 Ultra打破超跑市场格局和15 Ultra推动影像技术边界，小米正通过"人车家全生态"战略实现从性价比品牌向高端科技企业的跨越，这一转型将重塑消费电子和智能汽车行业竞争格局，促使同业加速技术创新与生态整合。</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AI 来了，重估 Keep</w:t>
      </w:r>
    </w:p>
    <w:p>
      <w:pPr>
        <w:spacing w:line="278" w:lineRule="auto" w:after="160"/>
        <w:ind w:firstLine="560"/>
      </w:pPr>
      <w:r>
        <w:rPr>
          <w:rFonts w:ascii="仿宋" w:hAnsi="仿宋" w:eastAsia="仿宋"/>
          <w:sz w:val="28"/>
        </w:rPr>
        <w:t>Keep宣布"All in AI"战略后，其股价在两周内累计上涨48%。公司计划通过AI大模型技术解决健身行业的两大痛点：一是利用AI生成海量健身内容，降低传统教练录制课程的高成本，预计可将内容制作成本降低60%；二是通过AI算法分析用户数据，提供个性化训练方案，提升付费转化率30%。目前Keep已布局智能运动装备，计划通过"AI+硬件"模式实时监测用户运动数据。高盛报告显示，全球资本正加速流入中国AI赛道，Keep有望在2025年实现盈亏平衡。这一转型将推动健身行业从内容普惠迈向个性化服务的新阶段。</w:t>
      </w:r>
    </w:p>
    <w:p>
      <w:pPr>
        <w:pStyle w:val="Heading2"/>
        <w:spacing w:line="278" w:lineRule="auto" w:after="160"/>
      </w:pPr>
      <w:r>
        <w:rPr>
          <w:rFonts w:ascii="Wingdings 2" w:hAnsi="Wingdings 2" w:eastAsia="Wingdings 2"/>
          <w:color w:val="000000"/>
        </w:rPr>
        <w:t>¸</w:t>
      </w:r>
      <w:r>
        <w:rPr>
          <w:rFonts w:ascii="仿宋" w:hAnsi="仿宋" w:eastAsia="仿宋"/>
          <w:b/>
          <w:color w:val="000000"/>
          <w:sz w:val="28"/>
        </w:rPr>
        <w:t xml:space="preserve"> 杭州六小龙，第一个 IPO 即将诞生</w:t>
      </w:r>
    </w:p>
    <w:p>
      <w:pPr>
        <w:spacing w:line="278" w:lineRule="auto" w:after="160"/>
        <w:ind w:firstLine="560"/>
      </w:pPr>
      <w:r>
        <w:rPr>
          <w:rFonts w:ascii="仿宋" w:hAnsi="仿宋" w:eastAsia="仿宋"/>
          <w:sz w:val="28"/>
        </w:rPr>
        <w:t>杭州群核科技依托云端GPU集群并行计算技术，打造了国内领先的空间设计平台"酷家乐"，2023年该平台占据22.2%的市场份额，毛利率达80%。公司积累的3.62亿个3D物理正确模型已成为机器人仿真训练的关键数据源，其新推出的SpatialVerse平台正为具身智能领域提供解决方案。2024年前九个月公司营收达5.53亿元，同比增长13.8%，企业客户数超4.5万。随着AI技术发展，群核科技正从家装SaaS向空间智能科技公司转型，其技术积累将在机器人训练等新兴领域创造更大价值，公司需持续优化研发投入与商业模式以把握市场机遇。</w:t>
      </w:r>
    </w:p>
    <w:sectPr w:rsidR="00FC693F" w:rsidRPr="0006063C" w:rsidSect="00034616">
      <w:pgSz w:w="11906" w:h="16838"/>
      <w:pgMar w:top="1440" w:right="1803" w:bottom="1440" w:left="1803" w:header="720" w:footer="720" w:gutter="0"/>
      <w:cols w:space="720"/>
      <w:docGrid w:linePitch="36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