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RWKV-7：从第一性原理出发的序列建模架构</w:t>
      </w:r>
    </w:p>
    <w:p>
      <w:pPr>
        <w:spacing w:line="278" w:lineRule="auto" w:after="160"/>
        <w:ind w:firstLine="560"/>
      </w:pPr>
      <w:r>
        <w:rPr>
          <w:rFonts w:ascii="仿宋" w:hAnsi="仿宋" w:eastAsia="仿宋"/>
          <w:sz w:val="28"/>
        </w:rPr>
        <w:t>RWKV团队提出的新一代RNN架构RWKV-7通过"内世界持续拟合外世界"的第一性原理，实现了训练高效、推理低耗且表达力超越Transformer的突破。该架构在1.9亿至29亿参数规模下，以远少于Qwen-2.5等顶尖模型的训练数据量，在多语言性能上达到同规模最强水平，英语性能与顶尖模型相当，同时能解决经典Transformer无法完成的状态追踪和确定性有限自动机模拟任务。测试显示，1.5B参数模型在19600符元长度的"大海捞针"测试中实现完美检索，推理效率在序列超过4000时优于Flash Attention v3。这一技术将显著降低大模型应用成本，特别是在需要长上下文的智能体场景中，建议相关企业关注其开源实现并评估应用价值。</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AI时代的学习：共探人类学习的复杂性</w:t>
      </w:r>
    </w:p>
    <w:p>
      <w:pPr>
        <w:spacing w:line="278" w:lineRule="auto" w:after="160"/>
        <w:ind w:firstLine="560"/>
      </w:pPr>
      <w:r>
        <w:rPr>
          <w:rFonts w:ascii="仿宋" w:hAnsi="仿宋" w:eastAsia="仿宋"/>
          <w:sz w:val="28"/>
        </w:rPr>
        <w:t>集智俱乐部联合江南大学、北京师范大学等高校专家团队共同发起"AI时代的学习"主题读书会，聚焦智能时代教育变革的核心问题。该团队基于联通主义学习理论，通过跨学科视角构建了包含脑科学、系统科学和教育技术的综合分析框架，提出元认知能力培养、人机协同教育生态等创新方案。目前已在苏州建成国内首个脑科学智慧教室，开发的多款智能测评产品已服务近百家教育机构。研究表明，采用新教学法的实验班级学生创新能力提升达30%。随着AI技术渗透教育领域，相关主体需关注技术伦理，通过政策引导和教学创新，构建适应未来需求的教育生态体系。</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AI×Science五大赛道，百万奖金！第三届世界科学智能大赛火热报名中</w:t>
      </w:r>
    </w:p>
    <w:p>
      <w:pPr>
        <w:spacing w:line="278" w:lineRule="auto" w:after="160"/>
        <w:ind w:firstLine="560"/>
      </w:pPr>
      <w:r>
        <w:rPr>
          <w:rFonts w:ascii="仿宋" w:hAnsi="仿宋" w:eastAsia="仿宋"/>
          <w:sz w:val="28"/>
        </w:rPr>
        <w:t>上海科学智能研究院与复旦大学联合主办的第三届世界科学智能大赛聚焦AI for Science领域，设置航空安全、材料设计等五大赛道。航空安全赛道通过AI预测模型实现云水、云冰等气象要素的精准预测；材料设计赛道运用强化学习算法建立分子结构与性能关联模型；合成生物赛道利用AI技术预测蛋白质不稳定区域；创新药赛道开发RNA逆折叠技术；新能源赛道则关注可再生能源发电预测。这些技术将推动国产大飞机适航认证、新型材料研发、生物制药等产业发展。大赛总奖金达100万元，旨在促进关键技术突破与人才培养，相关成果有望在航空、医药、新能源等领域产生显著经济效益。</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