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从DeepSeek崛起到下一个亿级销量市场，这份硬核报告说明白了</w:t>
      </w:r>
    </w:p>
    <w:p>
      <w:pPr>
        <w:spacing w:line="278" w:lineRule="auto" w:after="160"/>
        <w:ind w:firstLine="560"/>
      </w:pPr>
      <w:r>
        <w:rPr>
          <w:rFonts w:ascii="仿宋" w:hAnsi="仿宋" w:eastAsia="仿宋"/>
          <w:sz w:val="28"/>
        </w:rPr>
        <w:t>诺安基金最新科技报告显示，DeepSeek团队通过创新的模型架构和训练优化，在AI大模型领域取得突破性进展。其开源模型DeepSeek R1在2048张英伟达H800 GPU上完成训练，总成本约558万美元，而推理阶段仅需2台H20服务器即可运行满血版模型，成本约200万人民币。报告指出，这种"性价比突破"正推动AI向端侧设备普及，预计2027年AI PC市占率将达60%。在人形机器人领域，国内产业链已实现硬件成本降至15万元的关键突破，若能在2025年前积累千万小时场景数据，中国有望率先实现规模化应用。AI+生命科学领域也呈现高速增长，全球AI制药市场规模预计将以31.2%的年复合增长率扩张。这些技术进步将重塑产业格局，企业需加快技术创新和场景落地以把握机遇。</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超低成本复现QwQ！数学推理模型训练迎来RL暴击，数据代码全开源 | 蚂蚁&amp;清华出品</w:t>
      </w:r>
    </w:p>
    <w:p>
      <w:pPr>
        <w:spacing w:line="278" w:lineRule="auto" w:after="160"/>
        <w:ind w:firstLine="560"/>
      </w:pPr>
      <w:r>
        <w:rPr>
          <w:rFonts w:ascii="仿宋" w:hAnsi="仿宋" w:eastAsia="仿宋"/>
          <w:sz w:val="28"/>
        </w:rPr>
        <w:t>蚂蚁研究院强化学习实验室与清华大学交叉信息研究院团队联合开源了强化学习框架AReaL-boba，该框架通过集成SGLang推理框架显著提升训练效率，在1.5B、7B和32B模型上分别实现35%、60%和73%的吞吐提升。其7B模型在AIME数学推理测试中达到SOTA水平，AIME2024和2025得分分别提升6.9和8.6分。最突出的创新是采用轻量级SFT技术，仅需200条数据和200美元成本即可复现32B大模型的推理能力，大幅降低训练门槛。该技术已全面开源训练代码、数据和模型参数，并配套详细技术文档，使中小团队也能快速迭代模型。这一突破将推动强化学习在产业界的普及应用，建议相关企业关注其开源生态，结合自身业务需求进行模型微调和部署。</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周光：VLA模型将成智能驾驶体验颠覆性拐点</w:t>
      </w:r>
    </w:p>
    <w:p>
      <w:pPr>
        <w:spacing w:line="278" w:lineRule="auto" w:after="160"/>
        <w:ind w:firstLine="560"/>
      </w:pPr>
      <w:r>
        <w:rPr>
          <w:rFonts w:ascii="仿宋" w:hAnsi="仿宋" w:eastAsia="仿宋"/>
          <w:sz w:val="28"/>
        </w:rPr>
        <w:t>元戎启行CEO周光在百人会论坛上宣布，该公司基于VLA（视觉语言动作）模型的智能驾驶系统已完成道路测试，预计今年将有5款以上搭载该模型的车型上市。该模型在传统端到端模型基础上引入大语言模型，通过思维链技术增强全局决策能力，能理解特殊车道路规并实现透明化决策。测试数据显示，搭载VLA的车辆可准确识别潮汐车道规则并作出正确判断。2024年该公司首款量产车型即占据15%市场份额，随着L2级辅助驾驶普及率预计2025年达65%，VLA技术有望重塑智能驾驶市场格局。该技术突破将加速完全自动驾驶进程，企业需持续提升技术壁垒以应对即将到来的市场爆发期。</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摸DeepSeek过河也得自身硬! 想开后的文小言，真香！</w:t>
      </w:r>
    </w:p>
    <w:p>
      <w:pPr>
        <w:spacing w:line="278" w:lineRule="auto" w:after="160"/>
        <w:ind w:firstLine="560"/>
      </w:pPr>
      <w:r>
        <w:rPr>
          <w:rFonts w:ascii="仿宋" w:hAnsi="仿宋" w:eastAsia="仿宋"/>
          <w:sz w:val="28"/>
        </w:rPr>
        <w:t>百度近期将其文小言平台进行全面升级，整合了文心X1、文心4.5及DeepSeek-R1三款大模型，实现多模型融合调度。文心X1采用递进式强化学习训练方法，支持图文混合连续任务处理；文心4.5通过原生多模态联合预训练提升交互理解能力。升级后的系统在图片问答场景中实现多图联合分析准确率达92%，语音交互响应时间压缩至1秒，较行业平均降低5-10倍成本。该技术已应用于装修设计、旅游推荐等实际场景，例如能根据35平米户型自动生成三种风格装修方案。此次升级标志着AI应用从单一模型竞争转向多模型协同的生态化发展，预计将推动行业加速探索技术落地与用户体验的结合路径。企业需重点关注多模态技术的场景适配能力，通过开放合作提升解决方案的实用性。</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推荐场景Scaling Law来了！中科大&amp;华为诺亚方舟联合推出</w:t>
      </w:r>
    </w:p>
    <w:p>
      <w:pPr>
        <w:spacing w:line="278" w:lineRule="auto" w:after="160"/>
        <w:ind w:firstLine="560"/>
      </w:pPr>
      <w:r>
        <w:rPr>
          <w:rFonts w:ascii="仿宋" w:hAnsi="仿宋" w:eastAsia="仿宋"/>
          <w:sz w:val="28"/>
        </w:rPr>
        <w:t>中国科学技术大学认知智能全国重点实验室陈恩红团队与华为诺亚方舟实验室合作，首次提出推荐大模型性能预测定律，通过引入近似熵（ApEn）作为数据质量衡量指标，实现了对推荐模型性能与参数配置的定量预测。该研究创新性地将传统扩展定律中的数据规模指标替换为数据规模与近似熵之比，有效解决了推荐系统中因数据重复率高导致的模型过拟合问题。实验表明，该方法能准确预测模型的最优参数配置和扩展潜力，在命中率（HR）和归一化折扣累积增益（NDCG）等关键指标上取得显著提升。该成果为推荐系统的开发提供了理论指导，可显著降低企业研发成本，预计将推动电商、内容平台等领域的大模型应用优化。相关企业可通过该定律合理规划计算资源投入，在保证性能的同时控制开发成本。</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5.28亿融资砸向杭州具身智能公司，清华叉院机器人天才坐镇</w:t>
      </w:r>
    </w:p>
    <w:p>
      <w:pPr>
        <w:spacing w:line="278" w:lineRule="auto" w:after="160"/>
        <w:ind w:firstLine="560"/>
      </w:pPr>
      <w:r>
        <w:rPr>
          <w:rFonts w:ascii="仿宋" w:hAnsi="仿宋" w:eastAsia="仿宋"/>
          <w:sz w:val="28"/>
        </w:rPr>
        <w:t>千寻智能近期完成5.28亿元Pre-A轮融资，由阿美风险投资旗下P7领投，多家资本参与。该公司聚焦通用人形机器人和具身大模型研发，最新推出自研VLA Spirit v1抢先版，攻克了柔性物体长程操作难题，并预告首款商用级人形机器人Moz1，其一体化关节功率密度较特斯拉Optimus提升15%。团队核心成员来自顶尖高校及科技企业，创始人韩峰涛曾主导交付超2万台工业机器人。千寻智能计划2025年交付数百台产品，主要应用于智能制造、物流和康养领域。具身智能赛道持续升温，高盛预测2035年全球人形机器人市场规模将达1540亿美元。企业需加快技术迭代与商业化落地，政府可加强产学研合作以推动行业长期发展。</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图灵奖得主领衔，顶尖学者坐镇，海淀将在五方面支持创新街区建设</w:t>
      </w:r>
    </w:p>
    <w:p>
      <w:pPr>
        <w:spacing w:line="278" w:lineRule="auto" w:after="160"/>
        <w:ind w:firstLine="560"/>
      </w:pPr>
      <w:r>
        <w:rPr>
          <w:rFonts w:ascii="仿宋" w:hAnsi="仿宋" w:eastAsia="仿宋"/>
          <w:sz w:val="28"/>
        </w:rPr>
        <w:t>北京市科委联合中关村管委会在2025中关村论坛上发布了"北京前沿算法协同创新矩阵"，整合9家重点实验室资源，贯通产学研创新链路。百度、智源研究院等企业机构推出多项突破性成果，包括百度自主可控的万亿级参数大模型训练平台、智源开源的具身智能协作框架RoboOS，以及生数科技研发的高可控视频生成模型Vidu Q1。数据显示，北京人工智能核心产业规模已达3500亿元，聚集了全国近半数的相关企业。这些技术已在智能制造、智慧城市等领域实现商业化应用，其中公共算力平台可降低企业30%的算力成本。海淀区将投入百亿资金支持产业发展，预计到2026年带动相关产业规模突破5000亿元。企业应重点关注算法优化与算力资源共享，政府需完善数据流通机制，加速技术成果转化。</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面壁发布首个纯端侧智能助手，构建汽车超性能端侧大脑</w:t>
      </w:r>
    </w:p>
    <w:p>
      <w:pPr>
        <w:spacing w:line="278" w:lineRule="auto" w:after="160"/>
        <w:ind w:firstLine="560"/>
      </w:pPr>
      <w:r>
        <w:rPr>
          <w:rFonts w:ascii="仿宋" w:hAnsi="仿宋" w:eastAsia="仿宋"/>
          <w:sz w:val="28"/>
        </w:rPr>
        <w:t>面壁智能发布全球首个纯端侧智能助手"小钢炮超级助手cpmGO"，专为汽车智能座舱打造。该产品采用纯端侧部署方案，实现毫秒级响应，全面适配主流车载芯片，在断网环境下仍能保障数据安全并维持高性能运行。其核心技术在于将视觉、语音、多模态交互等能力集成至本地，形成全链条感知决策系统，目前已实现90%以上的操作准确率。目前该技术已与一汽大众、长安等车企合作，应用于智能汽车销量TOP5中的三款车型。此外，产品支持9大类26款车载应用，显著提升驾驶场景的交互效率。这一突破标志着端侧AI在汽车领域实现规模化落地，未来有望推动智能座舱向更高安全性、更低延迟的方向发展，同时为手机、可穿戴设备等终端提供可复用的技术方案。</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AIGC第一股年报详解：AIGC业务暴涨88.5%营收2.2亿，95%智能硬件交付出海，跑通规模化「软件订阅+出海」</w:t>
      </w:r>
    </w:p>
    <w:p>
      <w:pPr>
        <w:spacing w:line="278" w:lineRule="auto" w:after="160"/>
        <w:ind w:firstLine="560"/>
      </w:pPr>
      <w:r>
        <w:rPr>
          <w:rFonts w:ascii="仿宋" w:hAnsi="仿宋" w:eastAsia="仿宋"/>
          <w:sz w:val="28"/>
        </w:rPr>
        <w:t>出门问问2024年AIGC业务营收达2.2亿元，同比增长88.5%，占总收入56.8%，注册用户超1000万，付费用户突破百万。该公司通过"产模结合"战略，推出魔音工坊、奇妙元等AIGC SaaS产品矩阵，并升级自研大模型"序列猴子"，在文本、语音、视频等多模态领域取得突破。海外市场贡献显著，智能硬件95%销往海外，软件产品如DupDub和LivGen主要面向欧美市场，海外收入占比达41.8%。该公司的订阅制模式和全球化布局有效推动了业务增长，毛利率保持在52.1%。随着AIGC市场需求持续扩大，出门问问的标准化产品策略和海外先发优势将进一步提升其竞争力，为行业提供可复制的商业化范例。</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业界突破多模态泛化推理能力，OPPO研究院&amp;港科广提出OThink-MR1技术</w:t>
      </w:r>
    </w:p>
    <w:p>
      <w:pPr>
        <w:spacing w:line="278" w:lineRule="auto" w:after="160"/>
        <w:ind w:firstLine="560"/>
      </w:pPr>
      <w:r>
        <w:rPr>
          <w:rFonts w:ascii="仿宋" w:hAnsi="仿宋" w:eastAsia="仿宋"/>
          <w:sz w:val="28"/>
        </w:rPr>
        <w:t>OPPO研究院与香港科技大学（广州）联合研发的OThink-MR1技术通过动态强化学习框架提升了多模态大模型的泛化推理能力。该技术采用动态KL散度策略（GRPO-D）平衡模型探索与经验利用，并设计双奖励机制（准确性奖励和格式奖励）优化训练效果。实验显示，在视觉计数和几何推理任务中，该技术使模型准确率较传统监督微调方法提升显著，跨任务泛化测试中表现尤为突出，例如从推理任务到理解任务的泛化实验中性能提升超过30%。该技术有望推动多模态模型在复杂场景下的应用，企业可通过适配该框架加速AI产品的迭代升级。</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能效比狂飙40%！酷睿Ultra 200HX游戏本震撼登场，AI算力重构游戏规则</w:t>
      </w:r>
    </w:p>
    <w:p>
      <w:pPr>
        <w:spacing w:line="278" w:lineRule="auto" w:after="160"/>
        <w:ind w:firstLine="560"/>
      </w:pPr>
      <w:r>
        <w:rPr>
          <w:rFonts w:ascii="仿宋" w:hAnsi="仿宋" w:eastAsia="仿宋"/>
          <w:sz w:val="28"/>
        </w:rPr>
        <w:t>英特尔在2025年3月29日发布了酷睿Ultra 200HX系列处理器，该系列采用24核心设计，最高睿频达5.5GHz，能效比提升40%。通过与上代i9-14900HX对比测试显示，新处理器在单核性能提升10%、多核性能提升19%的同时，功耗降低38%。该处理器首次集成独立NPU单元，搭配英伟达RTX 50系列显卡可实现11%的游戏性能提升，并支持13款主流游戏的APO优化技术，最高提升10%游戏性能。在专业领域，该处理器在AI、机器学习等工作流中实现超过50%的性能提升。基于XPU架构的AI加速功能可智能分配不同AI负载，同时31分贝的静音表现显著改善游戏体验。该系列处理器已获得10家OEM厂商支持，预计将推动游戏本市场向高能效、AI化方向发展，为玩家和专业用户带来更优质的使用体验。</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“计算机视觉被GPT-4o终结了”（狗头）</w:t>
      </w:r>
    </w:p>
    <w:p>
      <w:pPr>
        <w:spacing w:line="278" w:lineRule="auto" w:after="160"/>
        <w:ind w:firstLine="560"/>
      </w:pPr>
      <w:r>
        <w:rPr>
          <w:rFonts w:ascii="仿宋" w:hAnsi="仿宋" w:eastAsia="仿宋"/>
          <w:sz w:val="28"/>
        </w:rPr>
        <w:t>OpenAI推出的GPT-4o原生多模态图像生成技术采用自回归模型架构，通过多尺度预测逐步生成图像细节，实现了语义分割、深度图生成和PBR材质渲染等功能。该系统在自动驾驶测试中成功识别特斯拉的"隐形墙"伪装，并可通过微调适配不同领域需求。据OpenAI应用研究主管Boris Power透露，该技术仅需训练基础模型后微调即可应用。与传统的扩散模型相比，GPT-4o在图像编辑和指令跟随方面表现更优，Meta等机构的研究也证实了多模态模型同时预测token和扩散图像的可行性。该技术将显著降低计算机视觉应用门槛，企业应关注基础模型微调策略，开发者可利用其多模态特性探索创意应用，传统CV工具厂商需加速技术升级以应对挑战。</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迈向群体智能 | 智源首个跨本体具身大小脑协作框架与开源具身大脑</w:t>
      </w:r>
    </w:p>
    <w:p>
      <w:pPr>
        <w:spacing w:line="278" w:lineRule="auto" w:after="160"/>
        <w:ind w:firstLine="560"/>
      </w:pPr>
      <w:r>
        <w:rPr>
          <w:rFonts w:ascii="仿宋" w:hAnsi="仿宋" w:eastAsia="仿宋"/>
          <w:sz w:val="28"/>
        </w:rPr>
        <w:t>智源研究院发布跨本体具身大小脑协作框架RoboOS与开源具身大脑RoboBrain，通过"大脑-小脑"分层架构实现机器人群体智能协作。RoboBrain由任务规划基座模型、可操作区域感知A-LoRA模块和轨迹预测T-LoRA模块组成，在OpenEQA等评测集上性能超越GPT-4V等模型，AGD20K测试集平均精度达行业领先水平。RoboOS支持10ms级低延迟响应，实现异构机器人即插即用接入，已在递送任务等场景验证多机协作能力。该技术将加速服务机器人、工业自动化等领域的智能化升级，建议产业链上下游企业关注其开源生态，共同推进具身智能规模化应用。</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自动驾驶首次应用测试时计算！港大英伟达等新技术让AI边开边学，无人车遇变道自如应对</w:t>
      </w:r>
    </w:p>
    <w:p>
      <w:pPr>
        <w:spacing w:line="278" w:lineRule="auto" w:after="160"/>
        <w:ind w:firstLine="560"/>
      </w:pPr>
      <w:r>
        <w:rPr>
          <w:rFonts w:ascii="仿宋" w:hAnsi="仿宋" w:eastAsia="仿宋"/>
          <w:sz w:val="28"/>
        </w:rPr>
        <w:t>香港大学、英伟达与德国图宾根大学联合团队开发的Centaur技术，首次将测试时训练（TTT）应用于自动驾驶领域，通过动态调整模型权重提升车辆在变道、加塞等复杂场景的应对能力。该技术利用轨迹聚类熵（Cluster Entropy）实时评估环境不确定性，当检测到异常路况时自动触发在线学习机制，使车辆在行驶中持续优化决策模型。测试数据显示，其规划与驾驶指标得分（PDMS）达92.6%，接近人类水平，碰撞避免等安全性能提升显著。这项突破将加速L4级自动驾驶商业化进程，车企需重构软件架构以适配动态学习系统，同时监管部门应建立针对自适应AI驾驶的专项安全评估标准。</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