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超低成本复现QwQ！数学推理模型训练迎来RL暴击，数据代码全开源 | 蚂蚁&amp;清华出品</w:t>
      </w:r>
    </w:p>
    <w:p>
      <w:pPr>
        <w:spacing w:line="278" w:lineRule="auto" w:after="160"/>
        <w:ind w:firstLine="560"/>
      </w:pPr>
      <w:r>
        <w:rPr>
          <w:rFonts w:ascii="仿宋" w:hAnsi="仿宋" w:eastAsia="仿宋"/>
          <w:sz w:val="28"/>
        </w:rPr>
        <w:t>蚂蚁研究院强化学习实验室与清华大学吴翼团队联合推出开源强化学习框架AReaL-boba，通过集成SGLang推理框架实现训练效率突破，在1.5B、7B和32B模型上分别实现35%、60%和73%的吞吐提升。该框架仅需200条数据和200美元成本即可复现QwQ-32B模型的数学推理能力，其中7B模型在AIME2024和2025测试中分别取得61.9和48.3分，较基础模型提升6.9和8.6分。团队开源了全部训练代码、106k数据集及详细技术文档，使中小团队也能在128卡集群1天内完成1.5B模型训练。这项技术将显著降低AI训练门槛，推动强化学习在产业界的普及应用，建议企业关注其开源生态以快速部署定制化模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周光：VLA模型将成智能驾驶体验颠覆性拐点</w:t>
      </w:r>
    </w:p>
    <w:p>
      <w:pPr>
        <w:spacing w:line="278" w:lineRule="auto" w:after="160"/>
        <w:ind w:firstLine="560"/>
      </w:pPr>
      <w:r>
        <w:rPr>
          <w:rFonts w:ascii="仿宋" w:hAnsi="仿宋" w:eastAsia="仿宋"/>
          <w:sz w:val="28"/>
        </w:rPr>
        <w:t>元戎启行CEO周光宣布已完成VLA（视觉语言动作）模型的道路测试，该模型在端到端模型基础上引入大语言模型，升级为多模态智能驾驶系统。VLA模型通过思维链技术显著提升全局决策能力，能准确理解特殊车道规则并应对复杂场景，同时保持决策过程透明可追溯。测试显示，搭载该系统的车辆可精准识别潮汐车道通行规则，结合时间判断通行权限。2024年该公司首款量产车型即占据15%市场份额，预计2025年将有5款搭载VLA的新车型上市。随着L2级辅助驾驶普及率预计达65%，该技术将推动智能驾驶从功能实现转向体验升级，企业需加速技术创新以应对市场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摸DeepSeek过河也得自身硬! 想开后的文小言，真香！</w:t>
      </w:r>
    </w:p>
    <w:p>
      <w:pPr>
        <w:spacing w:line="278" w:lineRule="auto" w:after="160"/>
        <w:ind w:firstLine="560"/>
      </w:pPr>
      <w:r>
        <w:rPr>
          <w:rFonts w:ascii="仿宋" w:hAnsi="仿宋" w:eastAsia="仿宋"/>
          <w:sz w:val="28"/>
        </w:rPr>
        <w:t>百度近期升级了文小言多模型融合平台，整合了自主研发的文心X1和4.5大模型以及DeepSeek-R1模型。文心X1采用递进式强化学习训练方法，支持多模态任务连续执行；文心4.5具备原生多模态能力，在图片理解和交互方面表现突出。平台新增自动模式可根据问题自动选择最优模型，图片问答准确率达90%以上，语音交互响应时间缩短至1秒。这些技术已应用于智能客服、教育辅导等场景，预计将提升用户体验并拓展商业应用空间。企业可通过该平台快速部署AI服务，开发者则可基于开放接口进行二次开发。</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推荐场景Scaling Law来了！中科大&amp;华为诺亚方舟联合推出</w:t>
      </w:r>
    </w:p>
    <w:p>
      <w:pPr>
        <w:spacing w:line="278" w:lineRule="auto" w:after="160"/>
        <w:ind w:firstLine="560"/>
      </w:pPr>
      <w:r>
        <w:rPr>
          <w:rFonts w:ascii="仿宋" w:hAnsi="仿宋" w:eastAsia="仿宋"/>
          <w:sz w:val="28"/>
        </w:rPr>
        <w:t>中国科学技术大学认知智能全国重点实验室陈恩红团队与华为诺亚方舟实验室联合提出推荐大模型性能预测定律，首次实现了对推荐模型性能与模型规模、数据质量之间的定量分析。该研究创新性地引入近似熵（ApEn）作为数据质量衡量指标，通过建立包含模型层数、嵌入维度和数据质量参数的预测公式，能够准确预测推荐模型的最优性能配置。实验表明，该定律在预测命中率（HR）和归一化折扣累积增益（NDCG）等关键指标上具有显著准确性，其中数据质量参数D′与模型性能呈现明确线性关系。该成果将有效降低推荐系统开发成本，指导企业合理配置计算资源，预计将推动推荐系统向更高效、更精准的方向发展。相关企业可通过该定律优化模型参数配置，提升推荐系统性能，同时降低GPU等硬件资源消耗。</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5.28亿融资砸向杭州具身智能公司，清华叉院机器人天才坐镇</w:t>
      </w:r>
    </w:p>
    <w:p>
      <w:pPr>
        <w:spacing w:line="278" w:lineRule="auto" w:after="160"/>
        <w:ind w:firstLine="560"/>
      </w:pPr>
      <w:r>
        <w:rPr>
          <w:rFonts w:ascii="仿宋" w:hAnsi="仿宋" w:eastAsia="仿宋"/>
          <w:sz w:val="28"/>
        </w:rPr>
        <w:t>杭州千寻智能（Spirit AI）近期完成5.28亿元Pre-A轮融资，由阿美风险投资旗下P7领投。该公司专注于通用人形机器人与具身大模型研发，其自研VLA Spirit v1模型已攻克柔性物体长程操作难题，并即将发布商用级人形机器人Moz1，该产品采用高精度全身力控技术，26个自由度的关节功率密度比特斯拉Optimus高出15%。团队核心成员来自清华、UC伯克利等顶尖院校，创始人韩峰涛曾主导交付超2万台工业机器人。目前公司计划2025年交付数百台产品，聚焦智能制造、物流等高附加值领域。随着具身智能赛道持续升温，该技术有望在工业和服务领域实现规模化应用，但商业化落地仍需长期技术积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面壁发布首个纯端侧智能助手，构建汽车超性能端侧大脑</w:t>
      </w:r>
    </w:p>
    <w:p>
      <w:pPr>
        <w:spacing w:line="278" w:lineRule="auto" w:after="160"/>
        <w:ind w:firstLine="560"/>
      </w:pPr>
      <w:r>
        <w:rPr>
          <w:rFonts w:ascii="仿宋" w:hAnsi="仿宋" w:eastAsia="仿宋"/>
          <w:sz w:val="28"/>
        </w:rPr>
        <w:t>面壁智能发布全球首个纯端侧智能助手"小钢炮超级助手cpmGO"，该产品专为汽车智能座舱设计，实现了全场景端到端的智能化应用。通过端云协同技术，该助手具备视觉、语音、多模态交互等能力，在弱网环境下仍能保持毫秒级响应，行动准确率超过90%。目前已在智能汽车销量TOP5品牌中成功部署，并与一汽大众、长安等车企达成合作。该技术突破解决了数据隐私和网络限制问题，预计将推动智能座舱体验升级，带动车载AI市场规模增长。企业应加快端侧AI布局，消费者可期待更安全、流畅的车载智能服务。</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AIGC第一股年报详解：AIGC业务暴涨88.5%营收2.2亿，95%智能硬件交付出海，跑通规模化「软件订阅+出海」</w:t>
      </w:r>
    </w:p>
    <w:p>
      <w:pPr>
        <w:spacing w:line="278" w:lineRule="auto" w:after="160"/>
        <w:ind w:firstLine="560"/>
      </w:pPr>
      <w:r>
        <w:rPr>
          <w:rFonts w:ascii="仿宋" w:hAnsi="仿宋" w:eastAsia="仿宋"/>
          <w:sz w:val="28"/>
        </w:rPr>
        <w:t>出门问问2024年财报显示其AIGC业务营收达2.2亿元，同比增长88.5%，占总收入56.8%。该公司通过"产模结合"战略，将自研大模型"序列猴子"与数字人产品、AI视频创作平台等AIGC工具结合，注册用户超1000万，付费用户突破100万。海外市场贡献41.8%收入，智能硬件产品95%销往海外。研发投入1.37亿元，推出WetaAvatar 4.0等新产品，毛利率保持在52.1%。这一成绩验证了订阅制商业模式和全球化布局的有效性，为AI企业提供了可复制的商业化路径，未来有望在细分领域持续扩大市场份额。</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业界突破多模态泛化推理能力，OPPO研究院&amp;港科广提出OThink-MR1技术</w:t>
      </w:r>
    </w:p>
    <w:p>
      <w:pPr>
        <w:spacing w:line="278" w:lineRule="auto" w:after="160"/>
        <w:ind w:firstLine="560"/>
      </w:pPr>
      <w:r>
        <w:rPr>
          <w:rFonts w:ascii="仿宋" w:hAnsi="仿宋" w:eastAsia="仿宋"/>
          <w:sz w:val="28"/>
        </w:rPr>
        <w:t>OPPO研究院与香港科技大学（广州）联合团队提出OThink-MR1技术，通过动态强化学习框架提升多模态大模型的泛化推理能力。该技术采用动态KL散度策略（GRPO-D）和双奖励模型设计，前者动态平衡模型探索与利用的权重，后者通过验证准确性奖励和格式奖励指导模型优化。实验表明，在视觉计数和几何推理任务中，该技术使模型准确率较传统监督微调方法提升显著，跨任务泛化能力尤为突出。该成果已实现从实验室到产业应用的转化，预计将推动智能客服、多模态内容生成等领域的效率提升。企业可通过接入该技术优化现有AI系统，同时开发者应关注其动态训练机制以适应不同场景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能效比狂飙40%！酷睿Ultra 200HX游戏本震撼登场，AI算力重构游戏规则</w:t>
      </w:r>
    </w:p>
    <w:p>
      <w:pPr>
        <w:spacing w:line="278" w:lineRule="auto" w:after="160"/>
        <w:ind w:firstLine="560"/>
      </w:pPr>
      <w:r>
        <w:rPr>
          <w:rFonts w:ascii="仿宋" w:hAnsi="仿宋" w:eastAsia="仿宋"/>
          <w:sz w:val="28"/>
        </w:rPr>
        <w:t>英特尔在2025年新品分享会上发布了酷睿Ultra 200HX处理器系列，联合10家OEM厂商推出20款高性能笔记本。该处理器采用24核心设计，最高睿频达5.5GHz，与上代产品相比实现单核性能提升10%、多核性能提升19%，同时功耗降低38%。在游戏性能方面，搭配英伟达RTX 50系列显卡可实现11%的性能提升，并首次支持独立NPU单元，通过AI游戏助手实现场景识别和实时交互。此外，该处理器在移动工作站领域可实现50%以上的性能提升，在多媒体制作等专业应用中也有20%的性能改进。这一技术突破将推动游戏本市场向高能效、低噪音方向发展，并为AI在游戏场景的应用提供硬件支持，预计将显著提升用户体验并带动相关产业链升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自动驾驶首次应用测试时计算！港大英伟达等新技术让AI边开边学，无人车遇变道自如应对</w:t>
      </w:r>
    </w:p>
    <w:p>
      <w:pPr>
        <w:spacing w:line="278" w:lineRule="auto" w:after="160"/>
        <w:ind w:firstLine="560"/>
      </w:pPr>
      <w:r>
        <w:rPr>
          <w:rFonts w:ascii="仿宋" w:hAnsi="仿宋" w:eastAsia="仿宋"/>
          <w:sz w:val="28"/>
        </w:rPr>
        <w:t>香港大学、英伟达与德国图宾根大学联合团队开发的Centaur技术，首次将测试时训练（TTT）应用于自动驾驶领域，通过动态调整模型权重提升车辆在变道等复杂场景中的应对能力。该技术利用轨迹聚类熵（Cluster Entropy）实时评估环境不确定性，当检测到异常场景时自动优化特征提取网络，无需依赖预设规则。测试数据显示，其规划与驾驶指标得分达92.6%，接近人类水平，碰撞避免等安全性能显著提升。这项技术将加速自动驾驶商业化落地，车企需配套升级传感器与计算平台，同时监管部门应建立适应动态学习系统的安全评估标准。</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