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从DeepSeek崛起到下一个亿级销量市场，这份硬核报告说明白了</w:t>
      </w:r>
    </w:p>
    <w:p>
      <w:pPr>
        <w:spacing w:line="278" w:lineRule="auto" w:after="160"/>
        <w:ind w:firstLine="560"/>
      </w:pPr>
      <w:r>
        <w:rPr>
          <w:rFonts w:ascii="仿宋" w:hAnsi="仿宋" w:eastAsia="仿宋"/>
          <w:sz w:val="28"/>
        </w:rPr>
        <w:t>诺安基金最新科技投资报告显示，中国AI产业正通过系统级创新实现突破。DeepSeek团队通过开源V3、R1等大模型及FlashMLA核心技术，在模型架构和训练策略上取得重要进展，其R1推理模型仅需2万元级显卡即可运行。报告指出，AI智能眼镜有望成为首个亿级出货的AI终端，预计2030年市场规模将达15亿副。在人形机器人领域，国内已形成全产业链能力，若实现"15万元硬件成本+千万小时场景数据"目标，中国或率先实现规模化应用。此外，AI制药正以31.2%的年增速推动医疗产业变革。这些技术突破将重塑全球科技竞争格局，企业需加快技术转化，政府应加强产业链协同和政策支持。</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超低成本复现QwQ！数学推理模型训练迎来RL暴击，数据代码全开源 | 蚂蚁&amp;清华出品</w:t>
      </w:r>
    </w:p>
    <w:p>
      <w:pPr>
        <w:spacing w:line="278" w:lineRule="auto" w:after="160"/>
        <w:ind w:firstLine="560"/>
      </w:pPr>
      <w:r>
        <w:rPr>
          <w:rFonts w:ascii="仿宋" w:hAnsi="仿宋" w:eastAsia="仿宋"/>
          <w:sz w:val="28"/>
        </w:rPr>
        <w:t>蚂蚁集团与清华大学联合研发的强化学习框架AReaL-boba在数学推理模型训练领域取得突破性进展。该框架通过集成SGLang推理框架，显著提升训练效率：在1.5B、7B和32B模型上分别实现35%、60%和73%的吞吐提升，其中7B模型仅需2天即可达到AIME 2024测试61.9分的SOTA水平。团队创新性地采用轻量级蒸馏技术，仅需200条数据和200美元成本即可复现32B大模型的QwQ-32B效果，将训练门槛从实验室级降至普通开发者可及范围。所有训练代码、数据和模型参数均已开源，包含106k条训练数据和详细技术文档。这一技术突破不仅大幅降低AI训练成本，更通过开源生态推动强化学习技术的普惠化发展，为中小团队实现模型快速迭代提供了可行路径。</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周光：VLA模型将成智能驾驶体验颠覆性拐点</w:t>
      </w:r>
    </w:p>
    <w:p>
      <w:pPr>
        <w:spacing w:line="278" w:lineRule="auto" w:after="160"/>
        <w:ind w:firstLine="560"/>
      </w:pPr>
      <w:r>
        <w:rPr>
          <w:rFonts w:ascii="仿宋" w:hAnsi="仿宋" w:eastAsia="仿宋"/>
          <w:sz w:val="28"/>
        </w:rPr>
        <w:t>元戎启行CEO周光在百人会论坛上宣布，该公司已完成基于VLA（视觉语言动作）模型的智能驾驶系统道路测试。该模型在端到端模型基础上引入大语言模型，具备多模态感知能力，能理解特殊车道规则并实现透明化决策。测试显示，搭载VLA模型的车辆可准确识别潮汐车道等复杂场景，2024年该公司量产车型已占据15%市场份额。据中国电动汽车百人会数据，2025年L2及以上辅助驾驶普及率预计达65%。随着智能驾驶需求增长，VLA模型将重塑市场格局，企业需加快技术创新以应对行业变革。</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推荐场景Scaling Law来了！中科大&amp;华为诺亚方舟联合推出</w:t>
      </w:r>
    </w:p>
    <w:p>
      <w:pPr>
        <w:spacing w:line="278" w:lineRule="auto" w:after="160"/>
        <w:ind w:firstLine="560"/>
      </w:pPr>
      <w:r>
        <w:rPr>
          <w:rFonts w:ascii="仿宋" w:hAnsi="仿宋" w:eastAsia="仿宋"/>
          <w:sz w:val="28"/>
        </w:rPr>
        <w:t>中国科学技术大学认知智能全国重点实验室陈恩红团队与华为诺亚方舟实验室联合提出推荐大模型性能预测定律，首次实现对推荐模型性能的定量预测。该研究创新性地引入近似熵（ApEn）作为数据质量衡量指标，通过理论推导和实验验证，建立了模型性能与数据规模、质量及模型参数间的定量关系。实验表明，该方法能准确预测模型最优参数配置，在命中率和NDCG指标上取得显著提升。该成果将显著降低推荐系统开发成本，指导企业合理配置计算资源，推动推荐系统向更高效、精准的方向发展。相关企业可通过该定律优化模型架构，在保证性能的同时降低运营成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5.28亿融资砸向杭州具身智能公司，清华叉院机器人天才坐镇</w:t>
      </w:r>
    </w:p>
    <w:p>
      <w:pPr>
        <w:spacing w:line="278" w:lineRule="auto" w:after="160"/>
        <w:ind w:firstLine="560"/>
      </w:pPr>
      <w:r>
        <w:rPr>
          <w:rFonts w:ascii="仿宋" w:hAnsi="仿宋" w:eastAsia="仿宋"/>
          <w:sz w:val="28"/>
        </w:rPr>
        <w:t>杭州千寻智能（Spirit AI）近日完成5.28亿元Pre-A轮融资，由阿美风投旗下P7领投，招商局创投等多家机构跟投。该公司自主研发的VLA Spirit v1抢先版已实现柔性物体长程操作突破，其商用级人形机器人Moz1采用26自由度全身力控设计，关节功率密度较特斯拉Optimus提升15%。核心团队由清华叉院高阳教授（提出被Figure采用的ViLa算法）及工业机器人连续创业者韩峰涛组成，已完成80+场景调研并计划2025年交付数百台产品。该技术将加速智能制造、物流等领域的自动化进程，企业需提前布局高附加值场景以把握人形机器人商业化窗口期。</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面壁发布首个纯端侧智能助手，构建汽车超性能端侧大脑</w:t>
      </w:r>
    </w:p>
    <w:p>
      <w:pPr>
        <w:spacing w:line="278" w:lineRule="auto" w:after="160"/>
        <w:ind w:firstLine="560"/>
      </w:pPr>
      <w:r>
        <w:rPr>
          <w:rFonts w:ascii="仿宋" w:hAnsi="仿宋" w:eastAsia="仿宋"/>
          <w:sz w:val="28"/>
        </w:rPr>
        <w:t>面壁智能发布全球首个纯端侧智能助手"小钢炮超级助手cpmGO"，该产品已成功部署于汽车智能座舱领域。该技术完全在本地运行，无需云端支持，实现了毫秒级响应速度，并突破弱网断网环境限制，有效保护用户数据隐私。目前已适配各类主流车载芯片，在智能汽车销量TOP5品牌中占据三席，合作伙伴包括一汽大众、长安等知名车企。该助手具备视觉、语音、多模态等全链条感知能力，行动准确率超过90%，支持9大类26款应用。面壁智能通过"端侧模型+端侧Agent"一体化方案，在汽车、手机等终端实现智能化突破，预计将推动端侧AI在更多场景落地，加速智能普惠进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AIGC第一股年报详解：AIGC业务暴涨88.5%营收2.2亿，95%智能硬件交付出海，跑通规模化「软件订阅+出海」</w:t>
      </w:r>
    </w:p>
    <w:p>
      <w:pPr>
        <w:spacing w:line="278" w:lineRule="auto" w:after="160"/>
        <w:ind w:firstLine="560"/>
      </w:pPr>
      <w:r>
        <w:rPr>
          <w:rFonts w:ascii="仿宋" w:hAnsi="仿宋" w:eastAsia="仿宋"/>
          <w:sz w:val="28"/>
        </w:rPr>
        <w:t>出门问问2024年财报显示其AIGC业务营收达2.2亿元，同比增长88.5%，占总收入56.8%，注册用户超1000万，付费用户突破100万。该公司采用"产模结合"策略，推出WetaAvatar 4.0数字人产品、AI视频创作平台元创岛等工具，并整合自研"序列猴子"大模型与外部DeepSeek等模型提升多模态能力。海外市场贡献显著，智能硬件95%销往海外，软件产品如DupDub和LivGen主要面向欧美市场，海外收入占比达41.8%。这一业绩表明标准化AIGC产品具有规模化潜力，企业应把握全球化机遇，通过技术创新和细分市场布局实现可持续增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业界突破多模态泛化推理能力，OPPO研究院&amp;港科广提出OThink-MR1技术</w:t>
      </w:r>
    </w:p>
    <w:p>
      <w:pPr>
        <w:spacing w:line="278" w:lineRule="auto" w:after="160"/>
        <w:ind w:firstLine="560"/>
      </w:pPr>
      <w:r>
        <w:rPr>
          <w:rFonts w:ascii="仿宋" w:hAnsi="仿宋" w:eastAsia="仿宋"/>
          <w:sz w:val="28"/>
        </w:rPr>
        <w:t>OPPO研究院与香港科技大学（广州）联合团队提出OThink-MR1技术，通过动态强化学习框架提升多模态模型的泛化推理能力。该技术采用动态KL散度策略（GRPO-D）和双维度奖励模型，前者动态平衡模型探索与利用的权重，后者通过准确性奖励和格式奖励指导模型优化。实验显示，在跨任务评估中，该技术使模型在视觉计数任务上的准确率提升32%，几何推理任务表现优于传统监督微调方法21%。该技术已应用于OPPO智能语音助手系统，预计可降低20%的跨场景调试成本。未来有望推动医疗影像分析、工业质检等领域的多模态应用落地，企业需结合业务场景优化奖励机制以释放技术潜力。</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能效比狂飙40%！酷睿Ultra 200HX游戏本震撼登场，AI算力重构游戏规则</w:t>
      </w:r>
    </w:p>
    <w:p>
      <w:pPr>
        <w:spacing w:line="278" w:lineRule="auto" w:after="160"/>
        <w:ind w:firstLine="560"/>
      </w:pPr>
      <w:r>
        <w:rPr>
          <w:rFonts w:ascii="仿宋" w:hAnsi="仿宋" w:eastAsia="仿宋"/>
          <w:sz w:val="28"/>
        </w:rPr>
        <w:t>英特尔在2025年3月发布酷睿Ultra 200HX系列处理器，该处理器采用24核心设计，最高睿频达5.5GHz。相比前代产品，其单核性能提升10%，多核性能提升19%，在相同性能下功耗降低38%，能效比提升40%。该处理器首次集成独立NPU单元，配合XPU架构实现AI负载智能分配，可提升51%内容创作性能和21%生产力性能。在游戏场景中，该处理器支持APO自动优化技术，已适配200余款游戏，最高可提升10%游戏性能。应用前景方面，该处理器不仅适用于游戏本市场，在AI计算、多媒体制作等领域也能实现20%-50%的性能提升，将推动高性能笔记本向高能效和AI化方向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迈向群体智能 | 智源首个跨本体具身大小脑协作框架与开源具身大脑</w:t>
      </w:r>
    </w:p>
    <w:p>
      <w:pPr>
        <w:spacing w:line="278" w:lineRule="auto" w:after="160"/>
        <w:ind w:firstLine="560"/>
      </w:pPr>
      <w:r>
        <w:rPr>
          <w:rFonts w:ascii="仿宋" w:hAnsi="仿宋" w:eastAsia="仿宋"/>
          <w:sz w:val="28"/>
        </w:rPr>
        <w:t>智源研究院发布跨本体具身大小脑协作框架RoboOS与开源具身大脑RoboBrain，通过"大脑-小脑"分层架构实现机器人群体智能协作。RoboBrain由任务规划基座模型、A-LoRA可操作区域感知模块和T-LoRA轨迹预测模块组成，在OpenEQA等评测集上性能优于GPT-4V等模型，其AGD20K测试集平均精度超越Qwen2-VL。RoboOS支持10ms级低延迟响应，通过共享记忆系统实现多机器人协同，已在松灵双臂、宇树人形等设备完成"递送苹果和水果刀"等复杂任务验证。该技术将推动服务机器人、工业自动化等领域的多机协作应用，降低开发门槛并加速具身智能生态建设。</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自动驾驶首次应用测试时计算！港大英伟达等新技术让AI边开边学，无人车遇变道自如应对</w:t>
      </w:r>
    </w:p>
    <w:p>
      <w:pPr>
        <w:spacing w:line="278" w:lineRule="auto" w:after="160"/>
        <w:ind w:firstLine="560"/>
      </w:pPr>
      <w:r>
        <w:rPr>
          <w:rFonts w:ascii="仿宋" w:hAnsi="仿宋" w:eastAsia="仿宋"/>
          <w:sz w:val="28"/>
        </w:rPr>
        <w:t>香港大学、英伟达与德国图宾根大学联合团队开发的Centaur自动驾驶技术，首次将测试时训练（TTT）方法应用于端到端自动驾驶系统。该技术通过实时计算轨迹采样的聚类熵（Cluster Entropy）评估环境不确定性，并动态调整模型参数，使车辆在变道、加塞等复杂场景中能自主优化驾驶策略，摆脱了对预设规则的依赖。测试数据显示，其规划与驾驶指标（PDMS）达到92.6%，接近人类驾驶水平，碰撞避免等安全性能显著提升。该技术已开源代码和模型参数，其在线自适应机制为自动驾驶在开放道路的可靠部署提供了新方案，预计将加速L4级自动驾驶的商业化进程，车企需重点关注该技术的集成应用与本土化适配。</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17款大模型PK八款棋牌游戏，o3-mini胜出，DeepSeek R1输在中间步骤</w:t>
      </w:r>
    </w:p>
    <w:p>
      <w:pPr>
        <w:spacing w:line="278" w:lineRule="auto" w:after="160"/>
        <w:ind w:firstLine="560"/>
      </w:pPr>
      <w:r>
        <w:rPr>
          <w:rFonts w:ascii="仿宋" w:hAnsi="仿宋" w:eastAsia="仿宋"/>
          <w:sz w:val="28"/>
        </w:rPr>
        <w:t>香港大学、剑桥大学和北京大学的研究团队联合开发了GameBoT评测基准，通过8款棋牌游戏对17款主流大语言模型进行动态测试。该评测创新性地采用中间步骤评估机制，将每个游戏决策分解为2-3个有标准答案的子问题，通过"[中间思考结果：XXX]"的固定格式提取模型推理过程。测试结果显示，o3-mini-high以0.873的F1分数领先，其决策逻辑清晰且符合游戏策略；而DeepSeek R1虽最终决策正确率较高，但中间步骤得分仅0.176，存在思考过程冗长、指令遵循不足的问题。该评测揭示当前大模型在复杂游戏中的推理能力仍有限，最优模型也只能做到单步最优决策。这一成果为AI推理能力评估提供了新范式，企业可据此优化模型训练方向，重点提升指令遵循和分步推理能力。</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