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从DeepSeek崛起到下一个亿级销量市场，这份硬核报告说明白了</w:t>
      </w:r>
    </w:p>
    <w:p>
      <w:pPr>
        <w:spacing w:line="278" w:lineRule="auto" w:after="160"/>
        <w:ind w:firstLine="560"/>
      </w:pPr>
      <w:r>
        <w:rPr>
          <w:rFonts w:ascii="仿宋" w:hAnsi="仿宋" w:eastAsia="仿宋"/>
          <w:sz w:val="28"/>
        </w:rPr>
        <w:t>诺安基金最新发布的科技投资报告显示，中国AI产业正通过开源模型和自主算力基座实现技术突围。以DeepSeek为例，其创新模型架构在2048张英伟达H800 GPU上完成训练，总成本558万美元，实现了性能与成本的平衡。报告预测AI智能眼镜将成为首个亿级出货的AI终端，到2030年市场规模有望突破15亿副。在人形机器人领域，国内已形成完整产业链，若实现"硬件成本15万元+场景数据千万小时"目标，中国或率先实现规模化应用。量子计算方面，中国"九章"光量子计算机已实现算力领先，预计2030年相关产业规模将达万亿级别。这些技术突破将重塑全球科技格局，企业应关注开源生态建设、场景应用创新和产业链协同发展。</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超低成本复现QwQ！数学推理模型训练迎来RL暴击，数据代码全开源 | 蚂蚁&amp;清华出品</w:t>
      </w:r>
    </w:p>
    <w:p>
      <w:pPr>
        <w:spacing w:line="278" w:lineRule="auto" w:after="160"/>
        <w:ind w:firstLine="560"/>
      </w:pPr>
      <w:r>
        <w:rPr>
          <w:rFonts w:ascii="仿宋" w:hAnsi="仿宋" w:eastAsia="仿宋"/>
          <w:sz w:val="28"/>
        </w:rPr>
        <w:t>蚂蚁研究院强化学习实验室与清华大学吴翼团队联合推出开源强化学习框架AReaL-boba，通过集成SGLang推理框架显著提升训练效率，在1.5B、7B和32B模型上分别实现35%、60%和73%的吞吐提升。该框架仅需200美元成本和200条数据即可复现QwQ-32B模型的数学推理能力，其中7B模型在AIME2024和2025测试中分别取得61.9分和48.3分的SOTA成绩。团队开源了全部训练代码、106k数据集及详细技术文档，使中小团队也能在128卡集群1天内完成1.5B模型训练。这一技术突破将大幅降低AI训练门槛，推动强化学习在产业界的普及应用，建议企业关注其异步训练和智能体能力等后续开源计划。</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周光：VLA模型将成智能驾驶体验颠覆性拐点</w:t>
      </w:r>
    </w:p>
    <w:p>
      <w:pPr>
        <w:spacing w:line="278" w:lineRule="auto" w:after="160"/>
        <w:ind w:firstLine="560"/>
      </w:pPr>
      <w:r>
        <w:rPr>
          <w:rFonts w:ascii="仿宋" w:hAnsi="仿宋" w:eastAsia="仿宋"/>
          <w:sz w:val="28"/>
        </w:rPr>
        <w:t>元戎启行CEO周光在百人会论坛上宣布，该公司基于大语言模型升级的VLA（视觉语言动作）模型已完成道路测试，将推出适配多种芯片平台的智能驾驶系统。该模型通过融合多模态感知和思维链推理，显著提升了复杂场景处理能力，尤其在潮汐车道等特殊路况中表现优异，能准确理解语义信息并执行合规驾驶。测试数据显示，搭载VLA模型的车辆已实现15%的市场占有率，预计2025年将有5款量产车型上市。随着L2级辅助驾驶渗透率突破55%，这项技术有望通过提升决策透明度和场景适应性，推动智能驾驶体验升级，助力企业在市场竞争中建立技术壁垒。行业需加速AI与自动驾驶的深度融合，以满足用户对极致体验的需求。</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摸DeepSeek过河也得自身硬! 想开后的文小言，真香！</w:t>
      </w:r>
    </w:p>
    <w:p>
      <w:pPr>
        <w:spacing w:line="278" w:lineRule="auto" w:after="160"/>
        <w:ind w:firstLine="560"/>
      </w:pPr>
      <w:r>
        <w:rPr>
          <w:rFonts w:ascii="仿宋" w:hAnsi="仿宋" w:eastAsia="仿宋"/>
          <w:sz w:val="28"/>
        </w:rPr>
        <w:t>百度基于文心X1和4.5大模型，与DeepSeek-R1进行多模型融合调度，推出升级版文小言。文心X1采用递进式强化学习训练方法，支持图文混合连续完成任务；文心4.5具备原生多模态能力，在多模态交互和理解方面表现突出。此次升级实现了图片问答、自动模型切换等新功能，其中图片问答准确率显著提升，语音交互响应时间压缩至1秒左右。这些技术已应用于装修设计推荐、旅游酒店筛选等实际场景。未来，多模型融合将进一步提升AI服务的精准度和实用性，企业应关注技术开放与场景落地的结合，以创造更大用户价值。</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推荐场景Scaling Law来了！中科大&amp;华为诺亚方舟联合推出</w:t>
      </w:r>
    </w:p>
    <w:p>
      <w:pPr>
        <w:spacing w:line="278" w:lineRule="auto" w:after="160"/>
        <w:ind w:firstLine="560"/>
      </w:pPr>
      <w:r>
        <w:rPr>
          <w:rFonts w:ascii="仿宋" w:hAnsi="仿宋" w:eastAsia="仿宋"/>
          <w:sz w:val="28"/>
        </w:rPr>
        <w:t>中国科学技术大学认知智能全国重点实验室陈恩红团队与华为诺亚方舟实验室合作，首次提出推荐大模型性能预测定律，实现了对模型性能与数据规模、质量的定量分析。该研究创新性地引入近似熵（ApEn）作为数据质量评价指标，通过建立性能预测模型，能够准确预测推荐模型的最优参数配置和扩展潜力。实验表明，该方法在命中率（HR）和归一化折扣累积增益（NDCG）等关键指标上表现优异，有效解决了传统扩展定律导致的模型过拟合问题。该成果将显著降低推荐系统的开发成本，优化GPU资源分配，为电商、社交平台等领域的推荐算法优化提供科学依据。企业可通过该技术精准评估模型性能，实现资源的高效配置，推动推荐系统向更高效、精准的方向发展。</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5.28亿融资砸向杭州具身智能公司，清华叉院机器人天才坐镇</w:t>
      </w:r>
    </w:p>
    <w:p>
      <w:pPr>
        <w:spacing w:line="278" w:lineRule="auto" w:after="160"/>
        <w:ind w:firstLine="560"/>
      </w:pPr>
      <w:r>
        <w:rPr>
          <w:rFonts w:ascii="仿宋" w:hAnsi="仿宋" w:eastAsia="仿宋"/>
          <w:sz w:val="28"/>
        </w:rPr>
        <w:t>杭州千寻智能（Spirit AI）近日完成5.28亿元Pre-A轮融资，由阿美风险投资旗下P7领投。该公司专注于通用人形机器人与具身大模型研发，最新推出自研视觉语言模型Spirit v1，攻克了柔性物体长程操作难题，并预告了商用级人形机器人Moz1——该产品采用26自由度全身力控设计，关节功率密度较特斯拉Optimus提升15%。核心团队由清华叉院高阳教授领衔，其提出的ViLa算法已被硅谷企业Figure采用。目前公司聚焦智能制造、物流等高附加值领域，计划2025年交付数百台产品。随着具身智能赛道持续升温，这类技术有望在工业自动化、康养服务等场景率先落地，但大规模商业化仍需产业链上下游协同突破关键技术瓶颈。</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具身前沿，智领未来！第二届中国具身智能大会成功举办</w:t>
      </w:r>
    </w:p>
    <w:p>
      <w:pPr>
        <w:spacing w:line="278" w:lineRule="auto" w:after="160"/>
        <w:ind w:firstLine="560"/>
      </w:pPr>
      <w:r>
        <w:rPr>
          <w:rFonts w:ascii="仿宋" w:hAnsi="仿宋" w:eastAsia="仿宋"/>
          <w:sz w:val="28"/>
        </w:rPr>
        <w:t>中国科学院计算技术研究所、清华大学等20余家单位联合发布的《中国人工智能学会具身智能白皮书》系统梳理了具身智能的15个重点发展方向，包括多模态感知、具身大模型等技术领域。该领域2024年中国市场规模已达4800亿元，预计2031年突破万亿元。目前北京已聚集2400家人工智能企业，核心产业规模达3500亿元，并率先出台具身智能专项政策推动产学研协同。具身智能在工业制造、医疗健康等领域的商业化应用正在加速，未来将通过技术创新和生态构建进一步推动产业升级。企业应重点关注多模态交互、自主决策等核心技术研发，同时加强与高校、科研院所的合作，抢占这一万亿级市场的先机。</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图灵奖得主领衔，顶尖学者坐镇，海淀将在五方面支持创新街区建设</w:t>
      </w:r>
    </w:p>
    <w:p>
      <w:pPr>
        <w:spacing w:line="278" w:lineRule="auto" w:after="160"/>
        <w:ind w:firstLine="560"/>
      </w:pPr>
      <w:r>
        <w:rPr>
          <w:rFonts w:ascii="仿宋" w:hAnsi="仿宋" w:eastAsia="仿宋"/>
          <w:sz w:val="28"/>
        </w:rPr>
        <w:t>北京市科委联合中关村管委会在2025中关村论坛年会上发布了多项人工智能创新成果，其中"北京前沿算法协同创新矩阵"整合了9家重点实验室资源，打通了国家级科研机构、高校与企业的创新链条。百度、智源研究院等机构展示了关键技术突破，如百度研发的自主可控算力调度系统可支撑万亿级参数大模型训练，智源研究院开源的RoboOS框架实现了跨本体具身智能协作。数据显示，北京市人工智能核心产业规模已达3500亿元，聚集了全国近半数相关企业。海淀区宣布每年投入百亿元支持AI基础设施建设，并更新117万平方米产业空间。这些技术成果将加速AI在智能制造、智慧城市等领域的商业化应用，企业应重点关注算法优化和算力资源共享，把握产业升级机遇。</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面壁发布首个纯端侧智能助手，构建汽车超性能端侧大脑</w:t>
      </w:r>
    </w:p>
    <w:p>
      <w:pPr>
        <w:spacing w:line="278" w:lineRule="auto" w:after="160"/>
        <w:ind w:firstLine="560"/>
      </w:pPr>
      <w:r>
        <w:rPr>
          <w:rFonts w:ascii="仿宋" w:hAnsi="仿宋" w:eastAsia="仿宋"/>
          <w:sz w:val="28"/>
        </w:rPr>
        <w:t>面壁智能发布全球首个纯端侧智能助手"小钢炮超级助手cpmGO"，专为汽车智能座舱打造。该技术完全在本地运行，具备视觉、语音、多模态交互等能力，响应速度达毫秒级，行动准确率超过90%，已在一汽大众、长安等车企的TOP5热销车型中应用。通过端云协同方案，该技术解决了弱网环境限制，保障了数据隐私安全。目前支持9大类26款车载应用，显著提升了驾驶场景的交互效率。这一创新将加速端侧AI在汽车领域的普及，推动智能座舱向更高性能、更安全的方向发展，建议行业关注端侧部署的技术突破和商业化路径。</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AIGC第一股年报详解：AIGC业务暴涨88.5%营收2.2亿，95%智能硬件交付出海，跑通规模化「软件订阅+出海」</w:t>
      </w:r>
    </w:p>
    <w:p>
      <w:pPr>
        <w:spacing w:line="278" w:lineRule="auto" w:after="160"/>
        <w:ind w:firstLine="560"/>
      </w:pPr>
      <w:r>
        <w:rPr>
          <w:rFonts w:ascii="仿宋" w:hAnsi="仿宋" w:eastAsia="仿宋"/>
          <w:sz w:val="28"/>
        </w:rPr>
        <w:t>出门问问2024年AIGC业务营收达2.2亿元，同比增长88.5%，占总收入56.8%，注册用户超1000万，付费用户突破百万。该公司通过"产模结合"战略，推出魔音工坊、奇妙元等AIGC工具，并升级自研大模型"序列猴子"，实现文本、语音等多模态能力提升。海外市场贡献显著，智能硬件95%销往海外，软件产品如DupDub在欧美市场表现突出。研发投入1.37亿元，虽同比降低11.5%，但转化效率提升，推出WetaAvatar 4.0等新产品。该模式验证了AIGC标准化产品的商业化潜力，建议企业继续优化订阅制模式，深化技术壁垒，同时把握全球化机遇拓展细分市场。</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13.8倍吞吐提升！浙大上海AI Lab等提出视觉生成新范式，从“下一个token”到“下一个邻域”</w:t>
      </w:r>
    </w:p>
    <w:p>
      <w:pPr>
        <w:spacing w:line="278" w:lineRule="auto" w:after="160"/>
        <w:ind w:firstLine="560"/>
      </w:pPr>
      <w:r>
        <w:rPr>
          <w:rFonts w:ascii="仿宋" w:hAnsi="仿宋" w:eastAsia="仿宋"/>
          <w:sz w:val="28"/>
        </w:rPr>
        <w:t>浙江大学与上海AI Lab联合团队提出创新的邻近自回归建模（NAR）方法，通过"下一个邻域预测"机制重构视觉生成流程。该技术采用维度导向的解码头设计，使模型能在空间和时间维度上并行预测多个相邻token，将视频生成步骤从传统方法的tn²步缩减至2n+t-2步。实验数据显示，在ImageNet 256×256图像生成任务中，372M参数的NAR-L模型不仅FID指标优于1.4B参数的LlamaGen-XXL（3.06 vs 3.09），更实现13.8倍的吞吐量提升（195.4 images/s vs 14.1 images/s）；在UCF-101视频生成任务中，其生成步骤减少97.3%的同时保持更优的FVD指标。该技术显著提升了生成效率与质量，为影视制作、游戏开发等领域的高分辨率内容创作提供了突破性解决方案，相关行业可通过API接入或定制化部署快速实现技术落地。</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业界突破多模态泛化推理能力，OPPO研究院&amp;港科广提出OThink-MR1技术</w:t>
      </w:r>
    </w:p>
    <w:p>
      <w:pPr>
        <w:spacing w:line="278" w:lineRule="auto" w:after="160"/>
        <w:ind w:firstLine="560"/>
      </w:pPr>
      <w:r>
        <w:rPr>
          <w:rFonts w:ascii="仿宋" w:hAnsi="仿宋" w:eastAsia="仿宋"/>
          <w:sz w:val="28"/>
        </w:rPr>
        <w:t>OPPO研究院与香港科技大学（广州）联合团队提出OThink-MR1技术，通过动态强化学习框架提升多模态模型的泛化推理能力。该技术采用动态KL散度策略（GRPO-D）和双奖励模型设计，前者动态平衡模型探索与经验利用，后者通过准确性奖励和格式奖励引导模型优化。实验显示，在跨任务评估中，该技术使模型在视觉计数和几何推理任务上的表现较传统监督微调方法提升显著，其中从推理到理解任务的泛化能力提升尤为突出。该技术已通过同任务验证，在视觉计数任务中准确率超越基线方法15%。未来可应用于智能客服、跨模态内容生成等领域，企业可通过适配该框架快速部署具备复杂推理能力的多模态系统。</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能效比狂飙40%！酷睿Ultra 200HX游戏本震撼登场，AI算力重构游戏规则</w:t>
      </w:r>
    </w:p>
    <w:p>
      <w:pPr>
        <w:spacing w:line="278" w:lineRule="auto" w:after="160"/>
        <w:ind w:firstLine="560"/>
      </w:pPr>
      <w:r>
        <w:rPr>
          <w:rFonts w:ascii="仿宋" w:hAnsi="仿宋" w:eastAsia="仿宋"/>
          <w:sz w:val="28"/>
        </w:rPr>
        <w:t>英特尔推出酷睿Ultra 200HX处理器，采用24核心设计和5.5GHz睿频频率，能效比提升40%，功耗降低38%。该处理器首次支持独立NPU单元，搭配全新AI游戏助手，可实现游戏场景识别和实时交互功能。性能测试显示，在《CS2》游戏中仅需75W功耗即可达到上一代125W的性能水平，游戏性能提升最高达39%。此外，该处理器还支持英特尔APO优化技术，可自动适配200余款游戏进行性能调优。在专业应用领域，该处理器在AI、机器学习等工作流中可实现50%以上的性能提升。英特尔表示，目前已与200多家合作伙伴开发了400多项AI功能。该系列处理器的推出将显著提升游戏本性能和能效表现，推动AI技术在游戏领域的应用创新。</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迈向群体智能 | 智源首个跨本体具身大小脑协作框架与开源具身大脑</w:t>
      </w:r>
    </w:p>
    <w:p>
      <w:pPr>
        <w:spacing w:line="278" w:lineRule="auto" w:after="160"/>
        <w:ind w:firstLine="560"/>
      </w:pPr>
      <w:r>
        <w:rPr>
          <w:rFonts w:ascii="仿宋" w:hAnsi="仿宋" w:eastAsia="仿宋"/>
          <w:sz w:val="28"/>
        </w:rPr>
        <w:t>智源研究院发布了跨本体具身大小脑协作框架RoboOS与开源具身大脑RoboBrain，通过“大脑-小脑”分层架构实现机器人群体智能协作。RoboBrain由任务规划基座模型、可操作区域感知模块和轨迹预测模块组成，采用多阶段训练策略提升场景感知和操作规划能力。测试数据显示，RoboBrain在OpenEQA、ShareRobot等评测集上任务规划能力优于GPT-4V和Claude3，在AGD20K测试集上可操作区域感知精度超过Qwen2-VL，轨迹预测精度和稳定性也表现优异。RoboOS支持10ms低延迟响应，可动态调度多机器人任务，已在松灵双臂、宇树人形等不同机器人上实现跨本体协作。该技术将推动服务机器人、工业自动化等领域的多机协作应用，降低开发门槛并加速具身智能生态构建。</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自动驾驶首次应用测试时计算！港大英伟达等新技术让AI边开边学，无人车遇变道自如应对</w:t>
      </w:r>
    </w:p>
    <w:p>
      <w:pPr>
        <w:spacing w:line="278" w:lineRule="auto" w:after="160"/>
        <w:ind w:firstLine="560"/>
      </w:pPr>
      <w:r>
        <w:rPr>
          <w:rFonts w:ascii="仿宋" w:hAnsi="仿宋" w:eastAsia="仿宋"/>
          <w:sz w:val="28"/>
        </w:rPr>
        <w:t>香港大学、英伟达与德国图宾根大学联合团队开发的Centaur技术，首次将测试时训练（TTT）应用于自动驾驶领域，使车辆能在行驶中动态调整模型参数。该技术利用轨迹聚类熵（Cluster Entropy）实时评估驾驶环境的不确定性，当检测到异常场景时自动优化特征提取网络，无需依赖预设规则。测试数据显示，其综合驾驶指标得分达92.6%，接近人类水平，碰撞避免等安全性能显著提升。这项突破性技术将推动自动驾驶在复杂路况中的实际应用，车企需加快算法迭代与道路测试以把握市场先机。</w:t>
      </w:r>
    </w:p>
    <w:sectPr w:rsidR="00FC693F" w:rsidRPr="0006063C" w:rsidSect="00034616">
      <w:pgSz w:w="11906" w:h="16838"/>
      <w:pgMar w:top="1440" w:right="1803" w:bottom="1440" w:left="1803" w:header="720" w:footer="720" w:gutter="0"/>
      <w:cols w:space="720"/>
      <w:docGrid w:linePitch="36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