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99F26">
      <w:pPr>
        <w:pStyle w:val="31"/>
        <w:spacing w:before="0" w:after="120" w:line="276" w:lineRule="auto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校园机会信息整合——最终业务字段体系</w:t>
      </w:r>
    </w:p>
    <w:p w14:paraId="74F675A6">
      <w:pPr>
        <w:pStyle w:val="16"/>
        <w:spacing w:before="0" w:after="40" w:line="276" w:lineRule="auto"/>
      </w:pPr>
      <w:r>
        <w:t>一</w:t>
      </w:r>
      <w:r>
        <w:rPr>
          <w:rFonts w:hint="eastAsia"/>
          <w:lang w:eastAsia="zh-CN"/>
        </w:rPr>
        <w:t>、</w:t>
      </w:r>
      <w:r>
        <w:t>数据来源/加工方式说明</w:t>
      </w:r>
    </w:p>
    <w:p w14:paraId="1E781CEC">
      <w:pPr>
        <w:spacing w:before="0" w:after="40" w:line="276" w:lineRule="auto"/>
      </w:pPr>
      <w:r>
        <w:rPr>
          <w:rFonts w:ascii="微软雅黑" w:hAnsi="微软雅黑" w:eastAsia="微软雅黑"/>
          <w:b/>
          <w:sz w:val="20"/>
        </w:rPr>
        <w:t>直接获取：</w:t>
      </w:r>
      <w:r>
        <w:rPr>
          <w:rFonts w:ascii="微软雅黑" w:hAnsi="微软雅黑" w:eastAsia="微软雅黑"/>
          <w:b w:val="0"/>
          <w:sz w:val="20"/>
        </w:rPr>
        <w:t>由网页、公众号、飞书等页面元数据或链接本身直接获得，不需要理解正文。</w:t>
      </w:r>
    </w:p>
    <w:p w14:paraId="00B021C0">
      <w:pPr>
        <w:spacing w:before="0" w:after="40" w:line="276" w:lineRule="auto"/>
      </w:pPr>
      <w:r>
        <w:rPr>
          <w:rFonts w:ascii="微软雅黑" w:hAnsi="微软雅黑" w:eastAsia="微软雅黑"/>
          <w:b/>
          <w:sz w:val="20"/>
        </w:rPr>
        <w:t>信息抽取：</w:t>
      </w:r>
      <w:r>
        <w:rPr>
          <w:rFonts w:ascii="微软雅黑" w:hAnsi="微软雅黑" w:eastAsia="微软雅黑"/>
          <w:b w:val="0"/>
          <w:sz w:val="20"/>
        </w:rPr>
        <w:t>信息明确存在于原通知正文中，由规则或 AI 从自然语言中提取为结构化字段。</w:t>
      </w:r>
    </w:p>
    <w:p w14:paraId="7C0649B0">
      <w:pPr>
        <w:spacing w:before="0" w:after="40" w:line="276" w:lineRule="auto"/>
      </w:pPr>
      <w:r>
        <w:rPr>
          <w:rFonts w:ascii="微软雅黑" w:hAnsi="微软雅黑" w:eastAsia="微软雅黑"/>
          <w:b/>
          <w:sz w:val="20"/>
        </w:rPr>
        <w:t>AI 加工/分类：</w:t>
      </w:r>
      <w:r>
        <w:rPr>
          <w:rFonts w:ascii="微软雅黑" w:hAnsi="微软雅黑" w:eastAsia="微软雅黑"/>
          <w:b w:val="0"/>
          <w:sz w:val="20"/>
        </w:rPr>
        <w:t>需要理解原文后进行分类、摘要、标签或归纳；不得生成原文没有依据的事实。</w:t>
      </w:r>
    </w:p>
    <w:p w14:paraId="5A0FBA3B">
      <w:pPr>
        <w:pStyle w:val="3"/>
        <w:spacing w:before="0" w:after="100" w:line="276" w:lineRule="auto"/>
      </w:pPr>
      <w:r>
        <w:t>二、通用业务字段</w:t>
      </w:r>
    </w:p>
    <w:p w14:paraId="2CB7D79B">
      <w:pPr>
        <w:spacing w:before="0" w:after="100" w:line="276" w:lineRule="auto"/>
      </w:pPr>
      <w:r>
        <w:rPr>
          <w:rFonts w:ascii="微软雅黑" w:hAnsi="微软雅黑" w:eastAsia="微软雅黑"/>
          <w:b w:val="0"/>
          <w:sz w:val="20"/>
        </w:rPr>
        <w:t>以下字段原则上适用于四类校园机会。若某项信息对具体活动不适用或原文未说明，可为空或标记“未说明/不适用”。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2154"/>
        <w:gridCol w:w="2721"/>
      </w:tblGrid>
      <w:tr w14:paraId="1510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732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368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5CA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w="215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7E9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数据来源/加工方式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489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185B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7D20D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机会名称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619F6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活动或机会的名称。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2F7B7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直接获取 / 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121AE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通常取原通知标题；必要时可做轻度规范化。</w:t>
            </w:r>
          </w:p>
        </w:tc>
      </w:tr>
      <w:tr w14:paraId="4B70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C8D90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机会类型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B4462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竞赛 / 学术与学习交流 / 志愿活动与社会实践 / 校园文体活动。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105A5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 加工/分类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20216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固定四分类。</w:t>
            </w:r>
          </w:p>
        </w:tc>
      </w:tr>
      <w:tr w14:paraId="5AE65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AE1C6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活动简介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11AEB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对活动核心内容的简要概括，帮助用户快速判断是否感兴趣。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9B424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 加工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BEBB9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根据原文摘要生成，不得补充原文不存在的事实。</w:t>
            </w:r>
          </w:p>
        </w:tc>
      </w:tr>
      <w:tr w14:paraId="32E7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512C4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活动时间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057D0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活动实际开展的时间安排，可为单次、连续、多次或长期活动。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FE287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6B261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优先忠实保留原通知表达，如“每周三晚”“10月8日、15日、22日”。</w:t>
            </w:r>
          </w:p>
        </w:tc>
      </w:tr>
      <w:tr w14:paraId="5215D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641FC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报名截止时间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F1958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最晚报名时间。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55148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6FE83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无需报名或未说明时可为空。</w:t>
            </w:r>
          </w:p>
        </w:tc>
      </w:tr>
      <w:tr w14:paraId="6265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9917F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活动地点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6E82B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线下地点或线上平台。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475BA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A8C14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如“教学中心101”“线上腾讯会议”。</w:t>
            </w:r>
          </w:p>
        </w:tc>
      </w:tr>
      <w:tr w14:paraId="6DD7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B02C5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参与对象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D4CEF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参与者身份、年级、专业等资格或限制。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9F163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28E8B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统一承载年级/专业等限制，不再拆分独立字段。</w:t>
            </w:r>
          </w:p>
        </w:tc>
      </w:tr>
      <w:tr w14:paraId="6B0B2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8B14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人数/名额要求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29BC0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活动总名额或参与人数限制。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258A2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0BBE7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没有明确限制时可为空。</w:t>
            </w:r>
          </w:p>
        </w:tc>
      </w:tr>
      <w:tr w14:paraId="71710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60F88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报名/参与方式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223D9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问卷、邮件、现场参加、无需报名等。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006F9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E4D07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描述用户如何参与。</w:t>
            </w:r>
          </w:p>
        </w:tc>
      </w:tr>
      <w:tr w14:paraId="4A264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4C94B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报名链接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63568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实际报名入口。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190F7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直接获取 / 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39410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无独立报名链接时可为空。</w:t>
            </w:r>
          </w:p>
        </w:tc>
      </w:tr>
      <w:tr w14:paraId="48CD1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DBCF0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是否计入公能实践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89182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该活动是否可计入学校公能实践。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2712F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76CA4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建议取值：是 / 否 / 未说明 / 不适用；必须以原通知为依据。</w:t>
            </w:r>
          </w:p>
        </w:tc>
      </w:tr>
      <w:tr w14:paraId="2F5BD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A3A48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原始通知链接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40285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原始通知或活动页面链接。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C997C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直接获取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521A8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供用户查看完整原文并核验信息。</w:t>
            </w:r>
          </w:p>
        </w:tc>
      </w:tr>
      <w:tr w14:paraId="20563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3E1CB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DCC5D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用于检索、筛选和个性化推荐的跨类别属性。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FAF76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 加工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3100E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如科研、保研、就业、体育、创新创业等。</w:t>
            </w:r>
          </w:p>
        </w:tc>
      </w:tr>
    </w:tbl>
    <w:p w14:paraId="05838BCB">
      <w:pPr>
        <w:pStyle w:val="3"/>
        <w:spacing w:before="0" w:after="100" w:line="276" w:lineRule="auto"/>
      </w:pPr>
      <w:r>
        <w:t>三、竞赛专属字段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2154"/>
        <w:gridCol w:w="2721"/>
      </w:tblGrid>
      <w:tr w14:paraId="67BFB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1A5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368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7E9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w="215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945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数据来源/加工方式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B41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28A7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6884F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竞赛级别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CF72B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竞赛层级，如校级、市级/省级、国家级等。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21F46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91CF2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原文未明确时可为空。</w:t>
            </w:r>
          </w:p>
        </w:tc>
      </w:tr>
      <w:tr w14:paraId="4DE42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B41EB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竞赛领域/方向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E69D6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竞赛所处领域或主要方向，如数学建模、生命科学、AI、创新创业等。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DEA55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 / AI 加工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2271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优先提取原文，必要时基于原文做归纳。</w:t>
            </w:r>
          </w:p>
        </w:tc>
      </w:tr>
      <w:tr w14:paraId="7E99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DCFFD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参赛形式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8824F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个人参赛或团队参赛。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7AEDD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43375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该字段保留为竞赛专属字段。</w:t>
            </w:r>
          </w:p>
        </w:tc>
      </w:tr>
      <w:tr w14:paraId="15E9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89A7B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团队人数要求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573CD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团队赛的队伍人数要求，如3人/队、2-5人。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DD2AE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D2A1C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个人赛时为空。</w:t>
            </w:r>
          </w:p>
        </w:tc>
      </w:tr>
    </w:tbl>
    <w:p w14:paraId="08152E24">
      <w:pPr>
        <w:pStyle w:val="3"/>
        <w:spacing w:before="0" w:after="80" w:line="276" w:lineRule="auto"/>
      </w:pPr>
      <w:r>
        <w:t>四、学术与学习交流专属字段</w:t>
      </w:r>
    </w:p>
    <w:p w14:paraId="665759D7">
      <w:pPr>
        <w:spacing w:before="0" w:after="100" w:line="276" w:lineRule="auto"/>
      </w:pPr>
      <w:r>
        <w:rPr>
          <w:rFonts w:ascii="微软雅黑" w:hAnsi="微软雅黑" w:eastAsia="微软雅黑"/>
          <w:b w:val="0"/>
          <w:sz w:val="20"/>
        </w:rPr>
        <w:t>该类别不仅包含狭义学术讲座，还覆盖经验分享、课程辅导、考前突击、技能培训、企业分享和交流活动等。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2154"/>
        <w:gridCol w:w="2721"/>
      </w:tblGrid>
      <w:tr w14:paraId="02293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30D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368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F72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w="215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086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数据来源/加工方式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EB7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1D42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3FC79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活动子类型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C4956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对该大类进一步细分。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EA3C6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 加工/分类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DB131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建议：学术报告 / 经验分享 / 课程辅导 / 技能培训 / 企业分享 / 交流沙龙 / 其他。</w:t>
            </w:r>
          </w:p>
        </w:tc>
      </w:tr>
      <w:tr w14:paraId="1B28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27799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活动主题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FFB63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本次活动具体围绕什么内容展开。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792C1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 / AI 加工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F3A01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优先从标题和正文提取，必要时概括。</w:t>
            </w:r>
          </w:p>
        </w:tc>
      </w:tr>
      <w:tr w14:paraId="61CE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2CFD6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主讲/分享/辅导人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2D63A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具体主讲者、分享者或辅导者姓名。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CED67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EDC88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未明确具体人员时可为空。</w:t>
            </w:r>
          </w:p>
        </w:tc>
      </w:tr>
      <w:tr w14:paraId="0EC2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5D77F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主讲人信息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C3C91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主讲者的身份、单位或背景简要说明。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B07B5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53CCD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如“某大学教授”“某企业产品经理”“某届毕业生”“课程助教”。</w:t>
            </w:r>
          </w:p>
        </w:tc>
      </w:tr>
      <w:tr w14:paraId="238D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94F18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内容领域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2CB72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活动内容所属的主题领域。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11CFD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 / AI 加工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4D356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如保研/升学、AI、生物医学、编程、行业发展等。</w:t>
            </w:r>
          </w:p>
        </w:tc>
      </w:tr>
      <w:tr w14:paraId="6124A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E4BAD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相关学院/专业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5829D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活动内容主要针对或讨论的学院/专业体系。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812E7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 / AI 加工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B5D12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仅在原文明确指向时记录；不得由主讲人所属单位反推。例：生命学院保研政策分享。</w:t>
            </w:r>
          </w:p>
        </w:tc>
      </w:tr>
    </w:tbl>
    <w:p w14:paraId="1693DAED">
      <w:pPr>
        <w:pStyle w:val="3"/>
        <w:spacing w:before="0" w:after="100" w:line="276" w:lineRule="auto"/>
      </w:pPr>
      <w:r>
        <w:t>五、志愿活动与社会实践专属字段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2154"/>
        <w:gridCol w:w="2721"/>
      </w:tblGrid>
      <w:tr w14:paraId="3BF8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419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368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CF0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w="215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CBA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数据来源/加工方式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703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156D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8781E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活动性质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3CBD5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区分志愿活动或社会实践。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5BBAC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 / AI 加工/分类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736E8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用于该大类内部进一步区分。</w:t>
            </w:r>
          </w:p>
        </w:tc>
      </w:tr>
      <w:tr w14:paraId="435BE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F120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活动内容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F8980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参与者实际需要完成的任务或实践内容。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7301F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 / AI 加工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AF918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 可概括原文，但不能编造任务。</w:t>
            </w:r>
          </w:p>
        </w:tc>
      </w:tr>
      <w:tr w14:paraId="1381C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DE7C2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活动时长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82145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预计参与所需时长，如4小时、3天、一周。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B2345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F5E72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若原文未明确可为空。</w:t>
            </w:r>
          </w:p>
        </w:tc>
      </w:tr>
      <w:tr w14:paraId="5852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66E65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志愿服务时长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33B22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可认定的志愿服务小时数。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2863C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10CCF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只有原文明确说明时记录。</w:t>
            </w:r>
          </w:p>
        </w:tc>
      </w:tr>
      <w:tr w14:paraId="6FFC6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7260F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特殊要求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93E6E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技能、证书、语言、体力等额外参与要求。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4F6D3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15727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原文未说明时不推断。</w:t>
            </w:r>
          </w:p>
        </w:tc>
      </w:tr>
    </w:tbl>
    <w:p w14:paraId="5ABD1A19">
      <w:pPr>
        <w:pStyle w:val="3"/>
        <w:spacing w:before="0" w:after="100" w:line="276" w:lineRule="auto"/>
      </w:pPr>
      <w:r>
        <w:t>六、校园文体活动专属字段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2154"/>
        <w:gridCol w:w="2721"/>
      </w:tblGrid>
      <w:tr w14:paraId="71C9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F0D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368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BCB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w="215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511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数据来源/加工方式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9F1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55D8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14C65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活动项目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27FD8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活动具体项目，如篮球、羽毛球、歌唱、摄影、桌游等。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4448D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8C9B2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用于描述“具体是什么活动”。</w:t>
            </w:r>
          </w:p>
        </w:tc>
      </w:tr>
      <w:tr w14:paraId="5FAC3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D49C5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活动形式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3593B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活动开展形式，如比赛、演出、体验、交流等。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F15EE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 / AI 加工/分类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DB9F0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与竞赛中的“参赛形式（个人/团队）”含义不同。</w:t>
            </w:r>
          </w:p>
        </w:tc>
      </w:tr>
      <w:tr w14:paraId="1881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2EBF9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奖励信息</w:t>
            </w:r>
          </w:p>
        </w:tc>
        <w:tc>
          <w:tcPr>
            <w:tcW w:w="368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18727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奖品、奖状、积分等活动奖励。</w:t>
            </w:r>
          </w:p>
        </w:tc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FFEF8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信息抽取</w:t>
            </w:r>
          </w:p>
        </w:tc>
        <w:tc>
          <w:tcPr>
            <w:tcW w:w="272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F4610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原文无奖励说明时可为空。</w:t>
            </w:r>
          </w:p>
        </w:tc>
      </w:tr>
    </w:tbl>
    <w:p w14:paraId="29A82E94">
      <w:pPr>
        <w:spacing w:before="120" w:after="0" w:line="276" w:lineRule="auto"/>
      </w:pPr>
    </w:p>
    <w:sectPr>
      <w:pgSz w:w="12240" w:h="15840"/>
      <w:pgMar w:top="1020" w:right="964" w:bottom="102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A4CC5"/>
    <w:rsid w:val="31542ED2"/>
    <w:rsid w:val="32A9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C5C8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2078</Words>
  <Characters>2107</Characters>
  <Lines>0</Lines>
  <Paragraphs>0</Paragraphs>
  <TotalTime>2</TotalTime>
  <ScaleCrop>false</ScaleCrop>
  <LinksUpToDate>false</LinksUpToDate>
  <CharactersWithSpaces>2173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谭果果</cp:lastModifiedBy>
  <dcterms:modified xsi:type="dcterms:W3CDTF">2026-10-02T06:19:18Z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eyJoZGlkIjoiYTkyYjcyNTg4OThiZjEzNmM3ZWYyMDZmNzE0MGNlMGIiLCJ1c2VySWQiOiIxNzYzMTc5MTcyIn0=</vt:lpwstr>
  </property>
  <property fmtid="{D5CDD505-2E9C-101B-9397-08002B2CF9AE}" pid="3" name="KSOProductBuildVer">
    <vt:lpwstr>2052-12.1.0.28043</vt:lpwstr>
  </property>
  <property fmtid="{D5CDD505-2E9C-101B-9397-08002B2CF9AE}" pid="4" name="ICV">
    <vt:lpwstr>DA88B05AD4C747BE8E08C0E0759AEB40_13</vt:lpwstr>
  </property>
</Properties>
</file>