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aps/>
          <w:color w:val="7F77DD"/>
          <w:sz w:val="56"/>
          <w:szCs w:val="56"/>
        </w:rPr>
        <w:t xml:space="preserve">BUSINESS PLAN</w:t>
      </w:r>
    </w:p>
    <w:p>
      <w:pPr>
        <w:spacing w:after="120" w:before="0"/>
        <w:jc w:val="center"/>
      </w:pPr>
      <w:r>
        <w:rPr>
          <w:rFonts w:ascii="Arial" w:cs="Arial" w:eastAsia="Arial" w:hAnsi="Arial"/>
          <w:b/>
          <w:bCs/>
          <w:color w:val="0F0F1A"/>
          <w:sz w:val="72"/>
          <w:szCs w:val="72"/>
        </w:rPr>
        <w:t xml:space="preserve">StreamAnalytics Pro</w:t>
      </w:r>
    </w:p>
    <w:p>
      <w:pPr>
        <w:spacing w:after="480" w:before="0"/>
        <w:jc w:val="center"/>
      </w:pPr>
      <w:r>
        <w:rPr>
          <w:rFonts w:ascii="Arial" w:cs="Arial" w:eastAsia="Arial" w:hAnsi="Arial"/>
          <w:i/>
          <w:iCs/>
          <w:color w:val="6060A0"/>
          <w:sz w:val="32"/>
          <w:szCs w:val="32"/>
        </w:rPr>
        <w:t xml:space="preserve">Plateforme AI de Monitoring Streaming</w:t>
      </w:r>
    </w:p>
    <w:p>
      <w:pPr>
        <w:spacing w:after="1440" w:before="0"/>
        <w:jc w:val="center"/>
      </w:pPr>
      <w:r>
        <w:rPr>
          <w:rFonts w:ascii="Arial" w:cs="Arial" w:eastAsia="Arial" w:hAnsi="Arial"/>
          <w:b/>
          <w:bCs/>
          <w:color w:val="7F77DD"/>
          <w:sz w:val="28"/>
          <w:szCs w:val="28"/>
        </w:rPr>
        <w:t xml:space="preserve">Strategie de vente aux Operateurs Internet (ISP)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il"/>
              <w:left w:val="nil"/>
              <w:bottom w:val="nil"/>
              <w:right w:val="nil"/>
            </w:tcBorders>
            <w:tcMar>
              <w:top w:type="dxa" w:w="80"/>
              <w:left w:type="dxa" w:w="160"/>
              <w:bottom w:type="dxa" w:w="80"/>
              <w:right w:type="dxa" w:w="80"/>
            </w:tcMar>
          </w:tcPr>
          <w:p>
            <w:r>
              <w:rPr>
                <w:rFonts w:ascii="Arial" w:cs="Arial" w:eastAsia="Arial" w:hAnsi="Arial"/>
                <w:b/>
                <w:bCs/>
                <w:color w:val="6060A0"/>
                <w:sz w:val="20"/>
                <w:szCs w:val="20"/>
              </w:rPr>
              <w:t xml:space="preserve">Version :</w:t>
            </w:r>
          </w:p>
        </w:tc>
        <w:tc>
          <w:tcPr>
            <w:tcW w:type="dxa" w:w="4513"/>
            <w:tcBorders>
              <w:top w:val="nil"/>
              <w:left w:val="nil"/>
              <w:bottom w:val="nil"/>
              <w:right w:val="nil"/>
            </w:tcBorders>
            <w:tcMar>
              <w:top w:type="dxa" w:w="80"/>
              <w:left w:type="dxa" w:w="80"/>
              <w:bottom w:type="dxa" w:w="80"/>
              <w:right w:type="dxa" w:w="160"/>
            </w:tcMar>
          </w:tcPr>
          <w:p>
            <w:r>
              <w:rPr>
                <w:rFonts w:ascii="Arial" w:cs="Arial" w:eastAsia="Arial" w:hAnsi="Arial"/>
                <w:color w:val="333333"/>
                <w:sz w:val="20"/>
                <w:szCs w:val="20"/>
              </w:rPr>
              <w:t xml:space="preserve">1.0 — Juin 2025</w:t>
            </w:r>
          </w:p>
        </w:tc>
      </w:tr>
      <w:tr>
        <w:tc>
          <w:tcPr>
            <w:tcW w:type="dxa" w:w="4513"/>
            <w:tcBorders>
              <w:top w:val="nil"/>
              <w:left w:val="nil"/>
              <w:bottom w:val="nil"/>
              <w:right w:val="nil"/>
            </w:tcBorders>
            <w:tcMar>
              <w:top w:type="dxa" w:w="80"/>
              <w:left w:type="dxa" w:w="160"/>
              <w:bottom w:type="dxa" w:w="80"/>
              <w:right w:type="dxa" w:w="80"/>
            </w:tcMar>
          </w:tcPr>
          <w:p>
            <w:r>
              <w:rPr>
                <w:rFonts w:ascii="Arial" w:cs="Arial" w:eastAsia="Arial" w:hAnsi="Arial"/>
                <w:b/>
                <w:bCs/>
                <w:color w:val="6060A0"/>
                <w:sz w:val="20"/>
                <w:szCs w:val="20"/>
              </w:rPr>
              <w:t xml:space="preserve">Contact :</w:t>
            </w:r>
          </w:p>
        </w:tc>
        <w:tc>
          <w:tcPr>
            <w:tcW w:type="dxa" w:w="4513"/>
            <w:tcBorders>
              <w:top w:val="nil"/>
              <w:left w:val="nil"/>
              <w:bottom w:val="nil"/>
              <w:right w:val="nil"/>
            </w:tcBorders>
            <w:tcMar>
              <w:top w:type="dxa" w:w="80"/>
              <w:left w:type="dxa" w:w="80"/>
              <w:bottom w:type="dxa" w:w="80"/>
              <w:right w:type="dxa" w:w="160"/>
            </w:tcMar>
          </w:tcPr>
          <w:p>
            <w:r>
              <w:rPr>
                <w:rFonts w:ascii="Arial" w:cs="Arial" w:eastAsia="Arial" w:hAnsi="Arial"/>
                <w:color w:val="7F77DD"/>
                <w:sz w:val="20"/>
                <w:szCs w:val="20"/>
              </w:rPr>
              <w:t xml:space="preserve">contact@streamanalytics.pro</w:t>
            </w:r>
          </w:p>
        </w:tc>
      </w:tr>
      <w:tr>
        <w:tc>
          <w:tcPr>
            <w:tcW w:type="dxa" w:w="4513"/>
            <w:tcBorders>
              <w:top w:val="nil"/>
              <w:left w:val="nil"/>
              <w:bottom w:val="nil"/>
              <w:right w:val="nil"/>
            </w:tcBorders>
            <w:tcMar>
              <w:top w:type="dxa" w:w="80"/>
              <w:left w:type="dxa" w:w="160"/>
              <w:bottom w:type="dxa" w:w="80"/>
              <w:right w:type="dxa" w:w="80"/>
            </w:tcMar>
          </w:tcPr>
          <w:p>
            <w:r>
              <w:rPr>
                <w:rFonts w:ascii="Arial" w:cs="Arial" w:eastAsia="Arial" w:hAnsi="Arial"/>
                <w:b/>
                <w:bCs/>
                <w:color w:val="6060A0"/>
                <w:sz w:val="20"/>
                <w:szCs w:val="20"/>
              </w:rPr>
              <w:t xml:space="preserve">Statut :</w:t>
            </w:r>
          </w:p>
        </w:tc>
        <w:tc>
          <w:tcPr>
            <w:tcW w:type="dxa" w:w="4513"/>
            <w:tcBorders>
              <w:top w:val="nil"/>
              <w:left w:val="nil"/>
              <w:bottom w:val="nil"/>
              <w:right w:val="nil"/>
            </w:tcBorders>
            <w:tcMar>
              <w:top w:type="dxa" w:w="80"/>
              <w:left w:type="dxa" w:w="80"/>
              <w:bottom w:type="dxa" w:w="80"/>
              <w:right w:type="dxa" w:w="160"/>
            </w:tcMar>
          </w:tcPr>
          <w:p>
            <w:r>
              <w:rPr>
                <w:rFonts w:ascii="Arial" w:cs="Arial" w:eastAsia="Arial" w:hAnsi="Arial"/>
                <w:b/>
                <w:bCs/>
                <w:color w:val="E24B4A"/>
                <w:sz w:val="20"/>
                <w:szCs w:val="20"/>
              </w:rPr>
              <w:t xml:space="preserve">CONFIDENTIEL</w:t>
            </w:r>
          </w:p>
        </w:tc>
      </w:tr>
    </w:tbl>
    <w:p>
      <w:pPr>
        <w:spacing w:after="120" w:before="720"/>
      </w:pPr>
      <w:r>
        <w:t xml:space="preserve"/>
      </w:r>
    </w:p>
    <w:p>
      <w:pPr>
        <w:pStyle w:val="Heading1"/>
        <w:pBdr>
          <w:bottom w:val="single" w:color="7F77DD" w:sz="6" w:space="4"/>
        </w:pBdr>
        <w:spacing w:after="120" w:before="360"/>
      </w:pPr>
      <w:r>
        <w:rPr>
          <w:rFonts w:ascii="Arial" w:cs="Arial" w:eastAsia="Arial" w:hAnsi="Arial"/>
          <w:color w:val="0F0F1A"/>
        </w:rPr>
        <w:t xml:space="preserve">1. Resume Executif</w:t>
      </w:r>
    </w:p>
    <w:p>
      <w:pPr>
        <w:spacing w:after="80" w:before="80"/>
        <w:jc w:val="both"/>
      </w:pPr>
      <w:r>
        <w:rPr>
          <w:rFonts w:ascii="Arial" w:cs="Arial" w:eastAsia="Arial" w:hAnsi="Arial"/>
          <w:color w:val="333333"/>
          <w:sz w:val="22"/>
          <w:szCs w:val="22"/>
        </w:rPr>
        <w:t xml:space="preserve">StreamAnalytics Pro est une plateforme SaaS de monitoring streaming video en temps reel, dotee d'une intelligence artificielle integree. Elle permet aux operateurs de telecoms, FAI (Fournisseurs d'Acces a Internet) et broadcasters de detecter, analyser et resoudre les incidents de qualite streaming avant qu'ils n'impactent leurs abonnes.</w:t>
      </w:r>
    </w:p>
    <w:p>
      <w:pPr>
        <w:spacing w:after="0" w:before="80"/>
      </w:pPr>
      <w:r>
        <w:t xml:space="preserve"/>
      </w:r>
    </w:p>
    <w:p>
      <w:pPr>
        <w:spacing w:after="80" w:before="80"/>
        <w:jc w:val="both"/>
      </w:pPr>
      <w:r>
        <w:rPr>
          <w:rFonts w:ascii="Arial" w:cs="Arial" w:eastAsia="Arial" w:hAnsi="Arial"/>
          <w:color w:val="333333"/>
          <w:sz w:val="22"/>
          <w:szCs w:val="22"/>
        </w:rPr>
        <w:t xml:space="preserve">Face a l'explosion du trafic video — qui represente desormais plus de 65% du trafic internet mondial — les ISP font face a un defi critique : garantir une qualite d'experience (QoE) optimale pour leurs abonnes IPTV, OTT et streaming, tout en maitrisant les couts operationnels.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9026"/>
            <w:gridSpan w:val="2"/>
            <w:tcBorders>
              <w:top w:val="single" w:color="CCCCCC" w:sz="1"/>
              <w:left w:val="single" w:color="CCCCCC" w:sz="1"/>
              <w:bottom w:val="single" w:color="CCCCCC" w:sz="1"/>
              <w:right w:val="single" w:color="CCCCCC" w:sz="1"/>
            </w:tcBorders>
            <w:shd w:fill="7F77DD"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PROPOSITION DE VALEUR CLES</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80"/>
            </w:tcMar>
          </w:tcPr>
          <w:p>
            <w:r>
              <w:rPr>
                <w:rFonts w:ascii="Arial" w:cs="Arial" w:eastAsia="Arial" w:hAnsi="Arial"/>
                <w:color w:val="555555"/>
                <w:sz w:val="22"/>
                <w:szCs w:val="22"/>
              </w:rPr>
              <w:t xml:space="preserve">Reduction du MTTR (Mean Time To Repair)</w:t>
            </w:r>
          </w:p>
        </w:tc>
        <w:tc>
          <w:tcPr>
            <w:tcW w:type="dxa" w:w="3860"/>
            <w:tcBorders>
              <w:top w:val="single" w:color="CCCCCC" w:sz="1"/>
              <w:left w:val="single" w:color="CCCCCC" w:sz="1"/>
              <w:bottom w:val="single" w:color="CCCCCC" w:sz="1"/>
              <w:right w:val="single" w:color="CCCCCC" w:sz="1"/>
            </w:tcBorders>
            <w:shd w:fill="F4F3FE" w:val="clear"/>
            <w:tcMar>
              <w:top w:type="dxa" w:w="80"/>
              <w:left w:type="dxa" w:w="80"/>
              <w:bottom w:type="dxa" w:w="80"/>
              <w:right w:type="dxa" w:w="160"/>
            </w:tcMar>
          </w:tcPr>
          <w:p>
            <w:pPr>
              <w:jc w:val="center"/>
            </w:pPr>
            <w:r>
              <w:rPr>
                <w:rFonts w:ascii="Arial" w:cs="Arial" w:eastAsia="Arial" w:hAnsi="Arial"/>
                <w:b/>
                <w:bCs/>
                <w:color w:val="1D9E75"/>
                <w:sz w:val="24"/>
                <w:szCs w:val="24"/>
              </w:rPr>
              <w:t xml:space="preserve">x10  (42 min -&gt; 4 min)</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80"/>
            </w:tcMar>
          </w:tcPr>
          <w:p>
            <w:r>
              <w:rPr>
                <w:rFonts w:ascii="Arial" w:cs="Arial" w:eastAsia="Arial" w:hAnsi="Arial"/>
                <w:color w:val="555555"/>
                <w:sz w:val="22"/>
                <w:szCs w:val="22"/>
              </w:rPr>
              <w:t xml:space="preserve">Pertes financieres evitees par incident</w:t>
            </w:r>
          </w:p>
        </w:tc>
        <w:tc>
          <w:tcPr>
            <w:tcW w:type="dxa" w:w="3860"/>
            <w:tcBorders>
              <w:top w:val="single" w:color="CCCCCC" w:sz="1"/>
              <w:left w:val="single" w:color="CCCCCC" w:sz="1"/>
              <w:bottom w:val="single" w:color="CCCCCC" w:sz="1"/>
              <w:right w:val="single" w:color="CCCCCC" w:sz="1"/>
            </w:tcBorders>
            <w:shd w:fill="F4F3FE" w:val="clear"/>
            <w:tcMar>
              <w:top w:type="dxa" w:w="80"/>
              <w:left w:type="dxa" w:w="80"/>
              <w:bottom w:type="dxa" w:w="80"/>
              <w:right w:type="dxa" w:w="160"/>
            </w:tcMar>
          </w:tcPr>
          <w:p>
            <w:pPr>
              <w:jc w:val="center"/>
            </w:pPr>
            <w:r>
              <w:rPr>
                <w:rFonts w:ascii="Arial" w:cs="Arial" w:eastAsia="Arial" w:hAnsi="Arial"/>
                <w:b/>
                <w:bCs/>
                <w:color w:val="1D9E75"/>
                <w:sz w:val="24"/>
                <w:szCs w:val="24"/>
              </w:rPr>
              <w:t xml:space="preserve">85%</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80"/>
            </w:tcMar>
          </w:tcPr>
          <w:p>
            <w:r>
              <w:rPr>
                <w:rFonts w:ascii="Arial" w:cs="Arial" w:eastAsia="Arial" w:hAnsi="Arial"/>
                <w:color w:val="555555"/>
                <w:sz w:val="22"/>
                <w:szCs w:val="22"/>
              </w:rPr>
              <w:t xml:space="preserve">ROI annuel moyen pour un ISP national</w:t>
            </w:r>
          </w:p>
        </w:tc>
        <w:tc>
          <w:tcPr>
            <w:tcW w:type="dxa" w:w="3860"/>
            <w:tcBorders>
              <w:top w:val="single" w:color="CCCCCC" w:sz="1"/>
              <w:left w:val="single" w:color="CCCCCC" w:sz="1"/>
              <w:bottom w:val="single" w:color="CCCCCC" w:sz="1"/>
              <w:right w:val="single" w:color="CCCCCC" w:sz="1"/>
            </w:tcBorders>
            <w:shd w:fill="F4F3FE" w:val="clear"/>
            <w:tcMar>
              <w:top w:type="dxa" w:w="80"/>
              <w:left w:type="dxa" w:w="80"/>
              <w:bottom w:type="dxa" w:w="80"/>
              <w:right w:type="dxa" w:w="160"/>
            </w:tcMar>
          </w:tcPr>
          <w:p>
            <w:pPr>
              <w:jc w:val="center"/>
            </w:pPr>
            <w:r>
              <w:rPr>
                <w:rFonts w:ascii="Arial" w:cs="Arial" w:eastAsia="Arial" w:hAnsi="Arial"/>
                <w:b/>
                <w:bCs/>
                <w:color w:val="1D9E75"/>
                <w:sz w:val="24"/>
                <w:szCs w:val="24"/>
              </w:rPr>
              <w:t xml:space="preserve">1.2 M€</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80"/>
            </w:tcMar>
          </w:tcPr>
          <w:p>
            <w:r>
              <w:rPr>
                <w:rFonts w:ascii="Arial" w:cs="Arial" w:eastAsia="Arial" w:hAnsi="Arial"/>
                <w:color w:val="555555"/>
                <w:sz w:val="22"/>
                <w:szCs w:val="22"/>
              </w:rPr>
              <w:t xml:space="preserve">Incidents non detectes sans notre solution</w:t>
            </w:r>
          </w:p>
        </w:tc>
        <w:tc>
          <w:tcPr>
            <w:tcW w:type="dxa" w:w="3860"/>
            <w:tcBorders>
              <w:top w:val="single" w:color="CCCCCC" w:sz="1"/>
              <w:left w:val="single" w:color="CCCCCC" w:sz="1"/>
              <w:bottom w:val="single" w:color="CCCCCC" w:sz="1"/>
              <w:right w:val="single" w:color="CCCCCC" w:sz="1"/>
            </w:tcBorders>
            <w:shd w:fill="F4F3FE" w:val="clear"/>
            <w:tcMar>
              <w:top w:type="dxa" w:w="80"/>
              <w:left w:type="dxa" w:w="80"/>
              <w:bottom w:type="dxa" w:w="80"/>
              <w:right w:type="dxa" w:w="160"/>
            </w:tcMar>
          </w:tcPr>
          <w:p>
            <w:pPr>
              <w:jc w:val="center"/>
            </w:pPr>
            <w:r>
              <w:rPr>
                <w:rFonts w:ascii="Arial" w:cs="Arial" w:eastAsia="Arial" w:hAnsi="Arial"/>
                <w:b/>
                <w:bCs/>
                <w:color w:val="E24B4A"/>
                <w:sz w:val="24"/>
                <w:szCs w:val="24"/>
              </w:rPr>
              <w:t xml:space="preserve">68%</w:t>
            </w:r>
          </w:p>
        </w:tc>
      </w:tr>
      <w:tr>
        <w:tc>
          <w:tcPr>
            <w:tcW w:type="dxa" w:w="55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80"/>
            </w:tcMar>
          </w:tcPr>
          <w:p>
            <w:r>
              <w:rPr>
                <w:rFonts w:ascii="Arial" w:cs="Arial" w:eastAsia="Arial" w:hAnsi="Arial"/>
                <w:color w:val="555555"/>
                <w:sz w:val="22"/>
                <w:szCs w:val="22"/>
              </w:rPr>
              <w:t xml:space="preserve">Trafic video sur les reseaux ISP (2025)</w:t>
            </w:r>
          </w:p>
        </w:tc>
        <w:tc>
          <w:tcPr>
            <w:tcW w:type="dxa" w:w="3860"/>
            <w:tcBorders>
              <w:top w:val="single" w:color="CCCCCC" w:sz="1"/>
              <w:left w:val="single" w:color="CCCCCC" w:sz="1"/>
              <w:bottom w:val="single" w:color="CCCCCC" w:sz="1"/>
              <w:right w:val="single" w:color="CCCCCC" w:sz="1"/>
            </w:tcBorders>
            <w:shd w:fill="F4F3FE" w:val="clear"/>
            <w:tcMar>
              <w:top w:type="dxa" w:w="80"/>
              <w:left w:type="dxa" w:w="80"/>
              <w:bottom w:type="dxa" w:w="80"/>
              <w:right w:type="dxa" w:w="160"/>
            </w:tcMar>
          </w:tcPr>
          <w:p>
            <w:pPr>
              <w:jc w:val="center"/>
            </w:pPr>
            <w:r>
              <w:rPr>
                <w:rFonts w:ascii="Arial" w:cs="Arial" w:eastAsia="Arial" w:hAnsi="Arial"/>
                <w:b/>
                <w:bCs/>
                <w:color w:val="7F77DD"/>
                <w:sz w:val="24"/>
                <w:szCs w:val="24"/>
              </w:rPr>
              <w:t xml:space="preserve">65%+</w:t>
            </w:r>
          </w:p>
        </w:tc>
      </w:tr>
    </w:tbl>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2. Marche et Opportunite</w:t>
      </w:r>
    </w:p>
    <w:p>
      <w:pPr>
        <w:pStyle w:val="Heading2"/>
        <w:spacing w:after="80" w:before="240"/>
      </w:pPr>
      <w:r>
        <w:rPr>
          <w:rFonts w:ascii="Arial" w:cs="Arial" w:eastAsia="Arial" w:hAnsi="Arial"/>
          <w:color w:val="7F77DD"/>
        </w:rPr>
        <w:t xml:space="preserve">2.1 Le marche de la video en ligne</w:t>
      </w:r>
    </w:p>
    <w:p>
      <w:pPr>
        <w:spacing w:after="80" w:before="80"/>
        <w:jc w:val="both"/>
      </w:pPr>
      <w:r>
        <w:rPr>
          <w:rFonts w:ascii="Arial" w:cs="Arial" w:eastAsia="Arial" w:hAnsi="Arial"/>
          <w:color w:val="333333"/>
          <w:sz w:val="22"/>
          <w:szCs w:val="22"/>
        </w:rPr>
        <w:t xml:space="preserve">Le marche mondial du monitoring video en ligne est evalue a 4.2 milliards de dollars en 2025 et devrait atteindre 12.8 milliards en 2030 (CAGR de 24.8%). Les ISP representent le segment le plus important avec 42% des depenses en solutions de monitoring.</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2009"/>
        <w:gridCol w:w="2009"/>
        <w:gridCol w:w="2000"/>
      </w:tblGrid>
      <w:tr>
        <w:tc>
          <w:tcPr>
            <w:tcW w:type="dxa" w:w="3008"/>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Arial" w:cs="Arial" w:eastAsia="Arial" w:hAnsi="Arial"/>
                <w:b/>
                <w:bCs/>
                <w:color w:val="7F77DD"/>
                <w:sz w:val="20"/>
                <w:szCs w:val="20"/>
              </w:rPr>
              <w:t xml:space="preserve">Segment</w:t>
            </w:r>
          </w:p>
        </w:tc>
        <w:tc>
          <w:tcPr>
            <w:tcW w:type="dxa" w:w="2009"/>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b/>
                <w:bCs/>
                <w:color w:val="7F77DD"/>
                <w:sz w:val="20"/>
                <w:szCs w:val="20"/>
              </w:rPr>
              <w:t xml:space="preserve">TAM 2025</w:t>
            </w:r>
          </w:p>
        </w:tc>
        <w:tc>
          <w:tcPr>
            <w:tcW w:type="dxa" w:w="2009"/>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b/>
                <w:bCs/>
                <w:color w:val="7F77DD"/>
                <w:sz w:val="20"/>
                <w:szCs w:val="20"/>
              </w:rPr>
              <w:t xml:space="preserve">Croissance</w:t>
            </w:r>
          </w:p>
        </w:tc>
        <w:tc>
          <w:tcPr>
            <w:tcW w:type="dxa" w:w="20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120"/>
            </w:tcMar>
          </w:tcPr>
          <w:p>
            <w:pPr>
              <w:jc w:val="center"/>
            </w:pPr>
            <w:r>
              <w:rPr>
                <w:rFonts w:ascii="Arial" w:cs="Arial" w:eastAsia="Arial" w:hAnsi="Arial"/>
                <w:b/>
                <w:bCs/>
                <w:color w:val="7F77DD"/>
                <w:sz w:val="20"/>
                <w:szCs w:val="20"/>
              </w:rPr>
              <w:t xml:space="preserve">Priorite</w:t>
            </w:r>
          </w:p>
        </w:tc>
      </w:tr>
      <w:tr>
        <w:tc>
          <w:tcPr>
            <w:tcW w:type="dxa" w:w="3008"/>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Operateurs Telecoms (ISP)</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1.8 Md$</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1D9E75"/>
                <w:sz w:val="20"/>
                <w:szCs w:val="20"/>
              </w:rPr>
              <w:t xml:space="preserve">+28%/an</w:t>
            </w:r>
          </w:p>
        </w:tc>
        <w:tc>
          <w:tcPr>
            <w:tcW w:type="dxa" w:w="2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120"/>
            </w:tcMar>
          </w:tcPr>
          <w:p>
            <w:pPr>
              <w:jc w:val="center"/>
            </w:pPr>
            <w:r>
              <w:rPr>
                <w:rFonts w:ascii="Arial" w:cs="Arial" w:eastAsia="Arial" w:hAnsi="Arial"/>
                <w:b/>
                <w:bCs/>
                <w:color w:val="1D9E75"/>
                <w:sz w:val="18"/>
                <w:szCs w:val="18"/>
              </w:rPr>
              <w:t xml:space="preserve">HAUTE</w:t>
            </w:r>
          </w:p>
        </w:tc>
      </w:tr>
      <w:tr>
        <w:tc>
          <w:tcPr>
            <w:tcW w:type="dxa" w:w="3008"/>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Plateformes OTT</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1.1 Md$</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1D9E75"/>
                <w:sz w:val="20"/>
                <w:szCs w:val="20"/>
              </w:rPr>
              <w:t xml:space="preserve">+22%/an</w:t>
            </w:r>
          </w:p>
        </w:tc>
        <w:tc>
          <w:tcPr>
            <w:tcW w:type="dxa" w:w="2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120"/>
            </w:tcMar>
          </w:tcPr>
          <w:p>
            <w:pPr>
              <w:jc w:val="center"/>
            </w:pPr>
            <w:r>
              <w:rPr>
                <w:rFonts w:ascii="Arial" w:cs="Arial" w:eastAsia="Arial" w:hAnsi="Arial"/>
                <w:b/>
                <w:bCs/>
                <w:color w:val="1D9E75"/>
                <w:sz w:val="18"/>
                <w:szCs w:val="18"/>
              </w:rPr>
              <w:t xml:space="preserve">HAUTE</w:t>
            </w:r>
          </w:p>
        </w:tc>
      </w:tr>
      <w:tr>
        <w:tc>
          <w:tcPr>
            <w:tcW w:type="dxa" w:w="3008"/>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Broadcasters / Medias</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0.8 Md$</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1D9E75"/>
                <w:sz w:val="20"/>
                <w:szCs w:val="20"/>
              </w:rPr>
              <w:t xml:space="preserve">+18%/an</w:t>
            </w:r>
          </w:p>
        </w:tc>
        <w:tc>
          <w:tcPr>
            <w:tcW w:type="dxa" w:w="20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120"/>
            </w:tcMar>
          </w:tcPr>
          <w:p>
            <w:pPr>
              <w:jc w:val="center"/>
            </w:pPr>
            <w:r>
              <w:rPr>
                <w:rFonts w:ascii="Arial" w:cs="Arial" w:eastAsia="Arial" w:hAnsi="Arial"/>
                <w:b/>
                <w:bCs/>
                <w:color w:val="E65100"/>
                <w:sz w:val="18"/>
                <w:szCs w:val="18"/>
              </w:rPr>
              <w:t xml:space="preserve">MOYENNE</w:t>
            </w:r>
          </w:p>
        </w:tc>
      </w:tr>
      <w:tr>
        <w:tc>
          <w:tcPr>
            <w:tcW w:type="dxa" w:w="3008"/>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Droits sportifs / Live</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0.5 Md$</w:t>
            </w:r>
          </w:p>
        </w:tc>
        <w:tc>
          <w:tcPr>
            <w:tcW w:type="dxa" w:w="2009"/>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1D9E75"/>
                <w:sz w:val="20"/>
                <w:szCs w:val="20"/>
              </w:rPr>
              <w:t xml:space="preserve">+35%/an</w:t>
            </w:r>
          </w:p>
        </w:tc>
        <w:tc>
          <w:tcPr>
            <w:tcW w:type="dxa" w:w="20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120"/>
            </w:tcMar>
          </w:tcPr>
          <w:p>
            <w:pPr>
              <w:jc w:val="center"/>
            </w:pPr>
            <w:r>
              <w:rPr>
                <w:rFonts w:ascii="Arial" w:cs="Arial" w:eastAsia="Arial" w:hAnsi="Arial"/>
                <w:b/>
                <w:bCs/>
                <w:color w:val="1D9E75"/>
                <w:sz w:val="18"/>
                <w:szCs w:val="18"/>
              </w:rPr>
              <w:t xml:space="preserve">HAUTE</w:t>
            </w:r>
          </w:p>
        </w:tc>
      </w:tr>
    </w:tbl>
    <w:p>
      <w:pPr>
        <w:pStyle w:val="Heading2"/>
        <w:spacing w:after="80" w:before="240"/>
      </w:pPr>
      <w:r>
        <w:rPr>
          <w:rFonts w:ascii="Arial" w:cs="Arial" w:eastAsia="Arial" w:hAnsi="Arial"/>
          <w:color w:val="7F77DD"/>
        </w:rPr>
        <w:t xml:space="preserve">2.2 Pourquoi les ISP sont notre cible prioritaire</w:t>
      </w:r>
    </w:p>
    <w:p>
      <w:pPr>
        <w:spacing w:after="80" w:before="80"/>
        <w:jc w:val="both"/>
      </w:pPr>
      <w:r>
        <w:rPr>
          <w:rFonts w:ascii="Arial" w:cs="Arial" w:eastAsia="Arial" w:hAnsi="Arial"/>
          <w:color w:val="333333"/>
          <w:sz w:val="22"/>
          <w:szCs w:val="22"/>
        </w:rPr>
        <w:t xml:space="preserve">Les ISP ont une double obligation : garantir la qualite du service (QoS/QoE) dans le cadre de leurs SLA contractuels, tout en gerant un volume de trafic video exponentiel. Un incident streaming non detecte peut impacter des millions d'abonnes simultanement et generer des penalites contractuelles.</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Volume critique : un ISP national gere 1 a 10 millions d'abonnes simultanes</w:t>
      </w:r>
    </w:p>
    <w:p>
      <w:pPr>
        <w:pStyle w:val="ListParagraph"/>
        <w:numPr>
          <w:ilvl w:val="0"/>
          <w:numId w:val="2"/>
        </w:numPr>
        <w:spacing w:after="40" w:before="40"/>
      </w:pPr>
      <w:r>
        <w:rPr>
          <w:rFonts w:ascii="Arial" w:cs="Arial" w:eastAsia="Arial" w:hAnsi="Arial"/>
          <w:color w:val="333333"/>
          <w:sz w:val="22"/>
          <w:szCs w:val="22"/>
        </w:rPr>
        <w:t xml:space="preserve">Obligation SLA : 99.95% de disponibilite — zero droit a l'erreur</w:t>
      </w:r>
    </w:p>
    <w:p>
      <w:pPr>
        <w:pStyle w:val="ListParagraph"/>
        <w:numPr>
          <w:ilvl w:val="0"/>
          <w:numId w:val="2"/>
        </w:numPr>
        <w:spacing w:after="40" w:before="40"/>
      </w:pPr>
      <w:r>
        <w:rPr>
          <w:rFonts w:ascii="Arial" w:cs="Arial" w:eastAsia="Arial" w:hAnsi="Arial"/>
          <w:color w:val="333333"/>
          <w:sz w:val="22"/>
          <w:szCs w:val="22"/>
        </w:rPr>
        <w:t xml:space="preserve">Enjeux financiers : 180 000 € de pertes par heure d'incident majeur (ISP national)</w:t>
      </w:r>
    </w:p>
    <w:p>
      <w:pPr>
        <w:pStyle w:val="ListParagraph"/>
        <w:numPr>
          <w:ilvl w:val="0"/>
          <w:numId w:val="2"/>
        </w:numPr>
        <w:spacing w:after="40" w:before="40"/>
      </w:pPr>
      <w:r>
        <w:rPr>
          <w:rFonts w:ascii="Arial" w:cs="Arial" w:eastAsia="Arial" w:hAnsi="Arial"/>
          <w:color w:val="333333"/>
          <w:sz w:val="22"/>
          <w:szCs w:val="22"/>
        </w:rPr>
        <w:t xml:space="preserve">Pression reglementaire : obligations de qualite imposees par les regulateurs (ARCEP, etc.)</w:t>
      </w:r>
    </w:p>
    <w:p>
      <w:pPr>
        <w:pStyle w:val="ListParagraph"/>
        <w:numPr>
          <w:ilvl w:val="0"/>
          <w:numId w:val="2"/>
        </w:numPr>
        <w:spacing w:after="40" w:before="40"/>
      </w:pPr>
      <w:r>
        <w:rPr>
          <w:rFonts w:ascii="Arial" w:cs="Arial" w:eastAsia="Arial" w:hAnsi="Arial"/>
          <w:color w:val="333333"/>
          <w:sz w:val="22"/>
          <w:szCs w:val="22"/>
        </w:rPr>
        <w:t xml:space="preserve">Transition technologique : migration IPTV vers OTT en cours — nouveaux risques a monitorer</w:t>
      </w:r>
    </w:p>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3. Les Problemes Critiques des ISP</w:t>
      </w:r>
    </w:p>
    <w:p>
      <w:pPr>
        <w:pStyle w:val="Heading2"/>
        <w:spacing w:after="80" w:before="240"/>
      </w:pPr>
      <w:r>
        <w:rPr>
          <w:rFonts w:ascii="Arial" w:cs="Arial" w:eastAsia="Arial" w:hAnsi="Arial"/>
          <w:color w:val="7F77DD"/>
        </w:rPr>
        <w:t xml:space="preserve">3.1 La detection tardive des incidents</w:t>
      </w:r>
    </w:p>
    <w:p>
      <w:pPr>
        <w:spacing w:after="80" w:before="80"/>
        <w:jc w:val="both"/>
      </w:pPr>
      <w:r>
        <w:rPr>
          <w:rFonts w:ascii="Arial" w:cs="Arial" w:eastAsia="Arial" w:hAnsi="Arial"/>
          <w:color w:val="333333"/>
          <w:sz w:val="22"/>
          <w:szCs w:val="22"/>
        </w:rPr>
        <w:t xml:space="preserve">La majorite des ISP detectent les incidents streaming de maniere reactive — via les appels au support client ou les alertes systeme classiques. Ce modele presente trois defaillances majeures :</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Delai de detection moyen : 15 a 40 minutes apres le debut de l'incident</w:t>
      </w:r>
    </w:p>
    <w:p>
      <w:pPr>
        <w:pStyle w:val="ListParagraph"/>
        <w:numPr>
          <w:ilvl w:val="0"/>
          <w:numId w:val="2"/>
        </w:numPr>
        <w:spacing w:after="40" w:before="40"/>
      </w:pPr>
      <w:r>
        <w:rPr>
          <w:rFonts w:ascii="Arial" w:cs="Arial" w:eastAsia="Arial" w:hAnsi="Arial"/>
          <w:color w:val="333333"/>
          <w:sz w:val="22"/>
          <w:szCs w:val="22"/>
        </w:rPr>
        <w:t xml:space="preserve">68% des degradations de qualite progressives passent totalement inapercues</w:t>
      </w:r>
    </w:p>
    <w:p>
      <w:pPr>
        <w:pStyle w:val="ListParagraph"/>
        <w:numPr>
          <w:ilvl w:val="0"/>
          <w:numId w:val="2"/>
        </w:numPr>
        <w:spacing w:after="40" w:before="40"/>
      </w:pPr>
      <w:r>
        <w:rPr>
          <w:rFonts w:ascii="Arial" w:cs="Arial" w:eastAsia="Arial" w:hAnsi="Arial"/>
          <w:color w:val="333333"/>
          <w:sz w:val="22"/>
          <w:szCs w:val="22"/>
        </w:rPr>
        <w:t xml:space="preserve">MTTR (Mean Time To Repair) moyen : 42 minutes — soit des dizaines de milliers d'euros perdus</w:t>
      </w:r>
    </w:p>
    <w:p>
      <w:pPr>
        <w:pStyle w:val="Heading2"/>
        <w:spacing w:after="80" w:before="240"/>
      </w:pPr>
      <w:r>
        <w:rPr>
          <w:rFonts w:ascii="Arial" w:cs="Arial" w:eastAsia="Arial" w:hAnsi="Arial"/>
          <w:color w:val="7F77DD"/>
        </w:rPr>
        <w:t xml:space="preserve">3.2 L'absence de visibilite sur la QoE reelle</w:t>
      </w:r>
    </w:p>
    <w:p>
      <w:pPr>
        <w:spacing w:after="80" w:before="80"/>
        <w:jc w:val="both"/>
      </w:pPr>
      <w:r>
        <w:rPr>
          <w:rFonts w:ascii="Arial" w:cs="Arial" w:eastAsia="Arial" w:hAnsi="Arial"/>
          <w:color w:val="333333"/>
          <w:sz w:val="22"/>
          <w:szCs w:val="22"/>
        </w:rPr>
        <w:t xml:space="preserve">Les outils traditionnels de monitoring reseau (supervision SNMP, sondes reseau) ne capturent pas l'experience reelle de l'utilisateur final. Un reseau techniquement stable peut delivrer une experience video degradee non visible par les outils classiques.</w:t>
      </w:r>
    </w:p>
    <w:p>
      <w:pPr>
        <w:spacing w:after="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Rebuffering invisible au niveau reseau mais critique pour l'abonne</w:t>
      </w:r>
    </w:p>
    <w:p>
      <w:pPr>
        <w:pStyle w:val="ListParagraph"/>
        <w:numPr>
          <w:ilvl w:val="0"/>
          <w:numId w:val="2"/>
        </w:numPr>
        <w:spacing w:after="40" w:before="40"/>
      </w:pPr>
      <w:r>
        <w:rPr>
          <w:rFonts w:ascii="Arial" w:cs="Arial" w:eastAsia="Arial" w:hAnsi="Arial"/>
          <w:color w:val="333333"/>
          <w:sz w:val="22"/>
          <w:szCs w:val="22"/>
        </w:rPr>
        <w:t xml:space="preserve">Degradations de qualite video non correlees aux metriques reseau</w:t>
      </w:r>
    </w:p>
    <w:p>
      <w:pPr>
        <w:pStyle w:val="ListParagraph"/>
        <w:numPr>
          <w:ilvl w:val="0"/>
          <w:numId w:val="2"/>
        </w:numPr>
        <w:spacing w:after="40" w:before="40"/>
      </w:pPr>
      <w:r>
        <w:rPr>
          <w:rFonts w:ascii="Arial" w:cs="Arial" w:eastAsia="Arial" w:hAnsi="Arial"/>
          <w:color w:val="333333"/>
          <w:sz w:val="22"/>
          <w:szCs w:val="22"/>
        </w:rPr>
        <w:t xml:space="preserve">Absence de score QoE unifie entre les differents services (IPTV, OTT, live)</w:t>
      </w:r>
    </w:p>
    <w:p>
      <w:pPr>
        <w:pStyle w:val="Heading2"/>
        <w:spacing w:after="80" w:before="240"/>
      </w:pPr>
      <w:r>
        <w:rPr>
          <w:rFonts w:ascii="Arial" w:cs="Arial" w:eastAsia="Arial" w:hAnsi="Arial"/>
          <w:color w:val="7F77DD"/>
        </w:rPr>
        <w:t xml:space="preserve">3.3 Le cout humain et financier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EEEDfe" w:val="clear"/>
            <w:tcMar>
              <w:top w:type="dxa" w:w="80"/>
              <w:left w:type="dxa" w:w="160"/>
              <w:bottom w:type="dxa" w:w="80"/>
              <w:right w:type="dxa" w:w="80"/>
            </w:tcMar>
          </w:tcPr>
          <w:p>
            <w:r>
              <w:rPr>
                <w:rFonts w:ascii="Arial" w:cs="Arial" w:eastAsia="Arial" w:hAnsi="Arial"/>
                <w:b/>
                <w:bCs/>
                <w:color w:val="7F77DD"/>
                <w:sz w:val="20"/>
                <w:szCs w:val="20"/>
              </w:rPr>
              <w:t xml:space="preserve">Impact</w:t>
            </w:r>
          </w:p>
        </w:tc>
        <w:tc>
          <w:tcPr>
            <w:tcW w:type="dxa" w:w="3526"/>
            <w:tcBorders>
              <w:top w:val="single" w:color="CCCCCC" w:sz="1"/>
              <w:left w:val="single" w:color="CCCCCC" w:sz="1"/>
              <w:bottom w:val="single" w:color="CCCCCC" w:sz="1"/>
              <w:right w:val="single" w:color="CCCCCC" w:sz="1"/>
            </w:tcBorders>
            <w:shd w:fill="EEEDfe" w:val="clear"/>
            <w:tcMar>
              <w:top w:type="dxa" w:w="80"/>
              <w:left w:type="dxa" w:w="80"/>
              <w:bottom w:type="dxa" w:w="80"/>
              <w:right w:type="dxa" w:w="160"/>
            </w:tcMar>
          </w:tcPr>
          <w:p>
            <w:pPr>
              <w:jc w:val="center"/>
            </w:pPr>
            <w:r>
              <w:rPr>
                <w:rFonts w:ascii="Arial" w:cs="Arial" w:eastAsia="Arial" w:hAnsi="Arial"/>
                <w:b/>
                <w:bCs/>
                <w:color w:val="7F77DD"/>
                <w:sz w:val="20"/>
                <w:szCs w:val="20"/>
              </w:rPr>
              <w:t xml:space="preserve">Cout estime</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Perte revenus publicitaires (incident 1h)</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E24B4A"/>
                <w:sz w:val="20"/>
                <w:szCs w:val="20"/>
              </w:rPr>
              <w:t xml:space="preserve">50 000 - 180 000 €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Penalites SLA contractuelles</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E24B4A"/>
                <w:sz w:val="20"/>
                <w:szCs w:val="20"/>
              </w:rPr>
              <w:t xml:space="preserve">10 000 - 500 000 €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Churn abonnes post-incident</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E24B4A"/>
                <w:sz w:val="20"/>
                <w:szCs w:val="20"/>
              </w:rPr>
              <w:t xml:space="preserve">200 - 800 € / abonne perdu</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Cout support client supplementaire</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E24B4A"/>
                <w:sz w:val="20"/>
                <w:szCs w:val="20"/>
              </w:rPr>
              <w:t xml:space="preserve">5 000 - 20 000 €/incident</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Heures supplementaires equipes NOC</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E24B4A"/>
                <w:sz w:val="20"/>
                <w:szCs w:val="20"/>
              </w:rPr>
              <w:t xml:space="preserve">2 000 - 8 000 €/incident</w:t>
            </w:r>
          </w:p>
        </w:tc>
      </w:tr>
    </w:tbl>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4. Notre Solution</w:t>
      </w:r>
    </w:p>
    <w:p>
      <w:pPr>
        <w:pStyle w:val="Heading2"/>
        <w:spacing w:after="80" w:before="240"/>
      </w:pPr>
      <w:r>
        <w:rPr>
          <w:rFonts w:ascii="Arial" w:cs="Arial" w:eastAsia="Arial" w:hAnsi="Arial"/>
          <w:color w:val="7F77DD"/>
        </w:rPr>
        <w:t xml:space="preserve">4.1 StreamAnalytics Pro — Vue d'ensemble</w:t>
      </w:r>
    </w:p>
    <w:p>
      <w:pPr>
        <w:spacing w:after="80" w:before="80"/>
        <w:jc w:val="both"/>
      </w:pPr>
      <w:r>
        <w:rPr>
          <w:rFonts w:ascii="Arial" w:cs="Arial" w:eastAsia="Arial" w:hAnsi="Arial"/>
          <w:color w:val="333333"/>
          <w:sz w:val="22"/>
          <w:szCs w:val="22"/>
        </w:rPr>
        <w:t xml:space="preserve">StreamAnalytics Pro est une plateforme SaaS deployable en moins de 48 heures, qui combine monitoring temps reel, intelligence artificielle et analyse predictive pour offrir aux ISP une visibilite complete sur la qualite d'experience de leurs abonnes streaming.</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F4F3FE" w:val="clear"/>
            <w:tcMar>
              <w:top w:type="dxa" w:w="120"/>
              <w:left w:type="dxa" w:w="120"/>
              <w:bottom w:type="dxa" w:w="120"/>
              <w:right w:type="dxa" w:w="120"/>
            </w:tcMar>
          </w:tcPr>
          <w:p>
            <w:pPr>
              <w:jc w:val="center"/>
            </w:pPr>
            <w:r>
              <w:rPr>
                <w:rFonts w:ascii="Arial" w:cs="Arial" w:eastAsia="Arial" w:hAnsi="Arial"/>
                <w:b/>
                <w:bCs/>
                <w:color w:val="7F77DD"/>
                <w:sz w:val="22"/>
                <w:szCs w:val="22"/>
              </w:rPr>
              <w:t xml:space="preserve">Score QoE</w:t>
            </w:r>
          </w:p>
          <w:p>
            <w:pPr>
              <w:spacing w:after="0" w:before="60"/>
            </w:pPr>
            <w:r>
              <w:t xml:space="preserve"/>
            </w:r>
          </w:p>
          <w:p>
            <w:r>
              <w:rPr>
                <w:rFonts w:ascii="Arial" w:cs="Arial" w:eastAsia="Arial" w:hAnsi="Arial"/>
                <w:color w:val="555555"/>
                <w:sz w:val="19"/>
                <w:szCs w:val="19"/>
              </w:rPr>
              <w:t xml:space="preserve">Score unifie 0-100 sur 6 dimensions ponderees, calcule en temps reel sur tous les flux</w:t>
            </w:r>
          </w:p>
        </w:tc>
        <w:tc>
          <w:tcPr>
            <w:tcW w:type="dxa" w:w="2256"/>
            <w:tcBorders>
              <w:top w:val="single" w:color="CCCCCC" w:sz="1"/>
              <w:left w:val="single" w:color="CCCCCC" w:sz="1"/>
              <w:bottom w:val="single" w:color="CCCCCC" w:sz="1"/>
              <w:right w:val="single" w:color="CCCCCC" w:sz="1"/>
            </w:tcBorders>
            <w:shd w:fill="F4F3FE" w:val="clear"/>
            <w:tcMar>
              <w:top w:type="dxa" w:w="120"/>
              <w:left w:type="dxa" w:w="120"/>
              <w:bottom w:type="dxa" w:w="120"/>
              <w:right w:type="dxa" w:w="120"/>
            </w:tcMar>
          </w:tcPr>
          <w:p>
            <w:pPr>
              <w:jc w:val="center"/>
            </w:pPr>
            <w:r>
              <w:rPr>
                <w:rFonts w:ascii="Arial" w:cs="Arial" w:eastAsia="Arial" w:hAnsi="Arial"/>
                <w:b/>
                <w:bCs/>
                <w:color w:val="7F77DD"/>
                <w:sz w:val="22"/>
                <w:szCs w:val="22"/>
              </w:rPr>
              <w:t xml:space="preserve">AI Decision Engine</w:t>
            </w:r>
          </w:p>
          <w:p>
            <w:pPr>
              <w:spacing w:after="0" w:before="60"/>
            </w:pPr>
            <w:r>
              <w:t xml:space="preserve"/>
            </w:r>
          </w:p>
          <w:p>
            <w:r>
              <w:rPr>
                <w:rFonts w:ascii="Arial" w:cs="Arial" w:eastAsia="Arial" w:hAnsi="Arial"/>
                <w:color w:val="555555"/>
                <w:sz w:val="19"/>
                <w:szCs w:val="19"/>
              </w:rPr>
              <w:t xml:space="preserve">Recommandations actionnables avec niveau de confiance — plan d'action en moins de 60 secondes</w:t>
            </w:r>
          </w:p>
        </w:tc>
        <w:tc>
          <w:tcPr>
            <w:tcW w:type="dxa" w:w="2256"/>
            <w:tcBorders>
              <w:top w:val="single" w:color="CCCCCC" w:sz="1"/>
              <w:left w:val="single" w:color="CCCCCC" w:sz="1"/>
              <w:bottom w:val="single" w:color="CCCCCC" w:sz="1"/>
              <w:right w:val="single" w:color="CCCCCC" w:sz="1"/>
            </w:tcBorders>
            <w:shd w:fill="F4F3FE" w:val="clear"/>
            <w:tcMar>
              <w:top w:type="dxa" w:w="120"/>
              <w:left w:type="dxa" w:w="120"/>
              <w:bottom w:type="dxa" w:w="120"/>
              <w:right w:type="dxa" w:w="120"/>
            </w:tcMar>
          </w:tcPr>
          <w:p>
            <w:pPr>
              <w:jc w:val="center"/>
            </w:pPr>
            <w:r>
              <w:rPr>
                <w:rFonts w:ascii="Arial" w:cs="Arial" w:eastAsia="Arial" w:hAnsi="Arial"/>
                <w:b/>
                <w:bCs/>
                <w:color w:val="7F77DD"/>
                <w:sz w:val="22"/>
                <w:szCs w:val="22"/>
              </w:rPr>
              <w:t xml:space="preserve">AI Copilot</w:t>
            </w:r>
          </w:p>
          <w:p>
            <w:pPr>
              <w:spacing w:after="0" w:before="60"/>
            </w:pPr>
            <w:r>
              <w:t xml:space="preserve"/>
            </w:r>
          </w:p>
          <w:p>
            <w:r>
              <w:rPr>
                <w:rFonts w:ascii="Arial" w:cs="Arial" w:eastAsia="Arial" w:hAnsi="Arial"/>
                <w:color w:val="555555"/>
                <w:sz w:val="19"/>
                <w:szCs w:val="19"/>
              </w:rPr>
              <w:t xml:space="preserve">Assistant IA contextuel qui connait vos metriques live et repond aux questions operationnelles</w:t>
            </w:r>
          </w:p>
        </w:tc>
        <w:tc>
          <w:tcPr>
            <w:tcW w:type="dxa" w:w="2256"/>
            <w:tcBorders>
              <w:top w:val="single" w:color="CCCCCC" w:sz="1"/>
              <w:left w:val="single" w:color="CCCCCC" w:sz="1"/>
              <w:bottom w:val="single" w:color="CCCCCC" w:sz="1"/>
              <w:right w:val="single" w:color="CCCCCC" w:sz="1"/>
            </w:tcBorders>
            <w:shd w:fill="F4F3FE" w:val="clear"/>
            <w:tcMar>
              <w:top w:type="dxa" w:w="120"/>
              <w:left w:type="dxa" w:w="120"/>
              <w:bottom w:type="dxa" w:w="120"/>
              <w:right w:type="dxa" w:w="120"/>
            </w:tcMar>
          </w:tcPr>
          <w:p>
            <w:pPr>
              <w:jc w:val="center"/>
            </w:pPr>
            <w:r>
              <w:rPr>
                <w:rFonts w:ascii="Arial" w:cs="Arial" w:eastAsia="Arial" w:hAnsi="Arial"/>
                <w:b/>
                <w:bCs/>
                <w:color w:val="7F77DD"/>
                <w:sz w:val="22"/>
                <w:szCs w:val="22"/>
              </w:rPr>
              <w:t xml:space="preserve">Analyse de Logs</w:t>
            </w:r>
          </w:p>
          <w:p>
            <w:pPr>
              <w:spacing w:after="0" w:before="60"/>
            </w:pPr>
            <w:r>
              <w:t xml:space="preserve"/>
            </w:r>
          </w:p>
          <w:p>
            <w:r>
              <w:rPr>
                <w:rFonts w:ascii="Arial" w:cs="Arial" w:eastAsia="Arial" w:hAnsi="Arial"/>
                <w:color w:val="555555"/>
                <w:sz w:val="19"/>
                <w:szCs w:val="19"/>
              </w:rPr>
              <w:t xml:space="preserve">Upload de fichiers logs CSV/JSON — dashboard et analyse IA generes instantanement</w:t>
            </w:r>
          </w:p>
        </w:tc>
      </w:tr>
    </w:tbl>
    <w:p>
      <w:pPr>
        <w:pStyle w:val="Heading2"/>
        <w:spacing w:after="80" w:before="240"/>
      </w:pPr>
      <w:r>
        <w:rPr>
          <w:rFonts w:ascii="Arial" w:cs="Arial" w:eastAsia="Arial" w:hAnsi="Arial"/>
          <w:color w:val="7F77DD"/>
        </w:rPr>
        <w:t xml:space="preserve">4.2 Specificites pour les ISP</w:t>
      </w:r>
    </w:p>
    <w:p>
      <w:pPr>
        <w:pStyle w:val="ListParagraph"/>
        <w:numPr>
          <w:ilvl w:val="0"/>
          <w:numId w:val="2"/>
        </w:numPr>
        <w:spacing w:after="40" w:before="40"/>
      </w:pPr>
      <w:r>
        <w:rPr>
          <w:rFonts w:ascii="Arial" w:cs="Arial" w:eastAsia="Arial" w:hAnsi="Arial"/>
          <w:color w:val="333333"/>
          <w:sz w:val="22"/>
          <w:szCs w:val="22"/>
        </w:rPr>
        <w:t xml:space="preserve">Compatibilite IPTV (HLS, DASH, RTSP) et OTT (Netflix, YouTube, Prime, Disney+)</w:t>
      </w:r>
    </w:p>
    <w:p>
      <w:pPr>
        <w:pStyle w:val="ListParagraph"/>
        <w:numPr>
          <w:ilvl w:val="0"/>
          <w:numId w:val="2"/>
        </w:numPr>
        <w:spacing w:after="40" w:before="40"/>
      </w:pPr>
      <w:r>
        <w:rPr>
          <w:rFonts w:ascii="Arial" w:cs="Arial" w:eastAsia="Arial" w:hAnsi="Arial"/>
          <w:color w:val="333333"/>
          <w:sz w:val="22"/>
          <w:szCs w:val="22"/>
        </w:rPr>
        <w:t xml:space="preserve">Integration API avec les plateformes NOC existantes (Nagios, Zabbix, Grafana)</w:t>
      </w:r>
    </w:p>
    <w:p>
      <w:pPr>
        <w:pStyle w:val="ListParagraph"/>
        <w:numPr>
          <w:ilvl w:val="0"/>
          <w:numId w:val="2"/>
        </w:numPr>
        <w:spacing w:after="40" w:before="40"/>
      </w:pPr>
      <w:r>
        <w:rPr>
          <w:rFonts w:ascii="Arial" w:cs="Arial" w:eastAsia="Arial" w:hAnsi="Arial"/>
          <w:color w:val="333333"/>
          <w:sz w:val="22"/>
          <w:szCs w:val="22"/>
        </w:rPr>
        <w:t xml:space="preserve">Multi-CDN monitoring : visibilite sur tous les partenaires CDN simultanement</w:t>
      </w:r>
    </w:p>
    <w:p>
      <w:pPr>
        <w:pStyle w:val="ListParagraph"/>
        <w:numPr>
          <w:ilvl w:val="0"/>
          <w:numId w:val="2"/>
        </w:numPr>
        <w:spacing w:after="40" w:before="40"/>
      </w:pPr>
      <w:r>
        <w:rPr>
          <w:rFonts w:ascii="Arial" w:cs="Arial" w:eastAsia="Arial" w:hAnsi="Arial"/>
          <w:color w:val="333333"/>
          <w:sz w:val="22"/>
          <w:szCs w:val="22"/>
        </w:rPr>
        <w:t xml:space="preserve">Alertes personnalisees selon les SLA contractuels de chaque client ISP</w:t>
      </w:r>
    </w:p>
    <w:p>
      <w:pPr>
        <w:pStyle w:val="ListParagraph"/>
        <w:numPr>
          <w:ilvl w:val="0"/>
          <w:numId w:val="2"/>
        </w:numPr>
        <w:spacing w:after="40" w:before="40"/>
      </w:pPr>
      <w:r>
        <w:rPr>
          <w:rFonts w:ascii="Arial" w:cs="Arial" w:eastAsia="Arial" w:hAnsi="Arial"/>
          <w:color w:val="333333"/>
          <w:sz w:val="22"/>
          <w:szCs w:val="22"/>
        </w:rPr>
        <w:t xml:space="preserve">Tableaux de bord par region, par technologie d'acces (fibre, 4G/5G, ADSL)</w:t>
      </w:r>
    </w:p>
    <w:p>
      <w:pPr>
        <w:pStyle w:val="ListParagraph"/>
        <w:numPr>
          <w:ilvl w:val="0"/>
          <w:numId w:val="2"/>
        </w:numPr>
        <w:spacing w:after="40" w:before="40"/>
      </w:pPr>
      <w:r>
        <w:rPr>
          <w:rFonts w:ascii="Arial" w:cs="Arial" w:eastAsia="Arial" w:hAnsi="Arial"/>
          <w:color w:val="333333"/>
          <w:sz w:val="22"/>
          <w:szCs w:val="22"/>
        </w:rPr>
        <w:t xml:space="preserve">Export de rapports QoE pour les obligations reglementaires (ARCEP, BEREC)</w:t>
      </w:r>
    </w:p>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5. Modele Commercial ISP</w:t>
      </w:r>
    </w:p>
    <w:p>
      <w:pPr>
        <w:pStyle w:val="Heading2"/>
        <w:spacing w:after="80" w:before="240"/>
      </w:pPr>
      <w:r>
        <w:rPr>
          <w:rFonts w:ascii="Arial" w:cs="Arial" w:eastAsia="Arial" w:hAnsi="Arial"/>
          <w:color w:val="7F77DD"/>
        </w:rPr>
        <w:t xml:space="preserve">5.1 Structure tarifaire</w:t>
      </w:r>
    </w:p>
    <w:p>
      <w:pPr>
        <w:spacing w:after="80" w:before="80"/>
        <w:jc w:val="both"/>
      </w:pPr>
      <w:r>
        <w:rPr>
          <w:rFonts w:ascii="Arial" w:cs="Arial" w:eastAsia="Arial" w:hAnsi="Arial"/>
          <w:color w:val="333333"/>
          <w:sz w:val="22"/>
          <w:szCs w:val="22"/>
        </w:rPr>
        <w:t xml:space="preserve">Notre modele tarifaire pour les ISP est base sur le nombre d'abonnes actifs monitores, avec une logique de volume degressive. Trois niveaux d'offre sont disponibles :</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c>
          <w:tcPr>
            <w:tcW w:type="dxa" w:w="2256"/>
            <w:tcBorders>
              <w:top w:val="single" w:color="CCCCCC" w:sz="1"/>
              <w:left w:val="single" w:color="CCCCCC" w:sz="1"/>
              <w:bottom w:val="single" w:color="CCCCCC" w:sz="1"/>
              <w:right w:val="single" w:color="CCCCCC" w:sz="1"/>
            </w:tcBorders>
            <w:shd w:fill="F8F8F8" w:val="clear"/>
            <w:tcMar>
              <w:top w:type="dxa" w:w="120"/>
              <w:left w:type="dxa" w:w="120"/>
              <w:bottom w:type="dxa" w:w="120"/>
              <w:right w:type="dxa" w:w="120"/>
            </w:tcMar>
          </w:tcPr>
          <w:p>
            <w:pPr>
              <w:jc w:val="center"/>
            </w:pPr>
            <w:r>
              <w:rPr>
                <w:rFonts w:ascii="Arial" w:cs="Arial" w:eastAsia="Arial" w:hAnsi="Arial"/>
                <w:b/>
                <w:bCs/>
                <w:color w:val="6060A0"/>
                <w:sz w:val="26"/>
                <w:szCs w:val="26"/>
              </w:rPr>
              <w:t xml:space="preserve">Starter</w:t>
            </w:r>
          </w:p>
          <w:p>
            <w:pPr>
              <w:spacing w:after="0" w:before="60"/>
            </w:pPr>
            <w:r>
              <w:t xml:space="preserve"/>
            </w:r>
          </w:p>
          <w:p>
            <w:pPr>
              <w:jc w:val="center"/>
            </w:pPr>
            <w:r>
              <w:rPr>
                <w:rFonts w:ascii="Arial" w:cs="Arial" w:eastAsia="Arial" w:hAnsi="Arial"/>
                <w:b/>
                <w:bCs/>
                <w:color w:val="0F0F1A"/>
                <w:sz w:val="22"/>
                <w:szCs w:val="22"/>
              </w:rPr>
              <w:t xml:space="preserve">2 500 €/mois</w:t>
            </w:r>
          </w:p>
          <w:p>
            <w:pPr>
              <w:spacing w:after="0" w:before="40"/>
            </w:pPr>
            <w:r>
              <w:t xml:space="preserve"/>
            </w:r>
          </w:p>
          <w:p>
            <w:pPr>
              <w:jc w:val="center"/>
            </w:pPr>
            <w:r>
              <w:rPr>
                <w:rFonts w:ascii="Arial" w:cs="Arial" w:eastAsia="Arial" w:hAnsi="Arial"/>
                <w:color w:val="6060A0"/>
                <w:sz w:val="18"/>
                <w:szCs w:val="18"/>
              </w:rPr>
              <w:t xml:space="preserve">Jusqu'a 100K abonnes</w:t>
            </w:r>
          </w:p>
        </w:tc>
        <w:tc>
          <w:tcPr>
            <w:tcW w:type="dxa" w:w="2256"/>
            <w:tcBorders>
              <w:top w:val="single" w:color="CCCCCC" w:sz="1"/>
              <w:left w:val="single" w:color="CCCCCC" w:sz="1"/>
              <w:bottom w:val="single" w:color="CCCCCC" w:sz="1"/>
              <w:right w:val="single" w:color="CCCCCC" w:sz="1"/>
            </w:tcBorders>
            <w:shd w:fill="F4F3FE" w:val="clear"/>
            <w:tcMar>
              <w:top w:type="dxa" w:w="120"/>
              <w:left w:type="dxa" w:w="120"/>
              <w:bottom w:type="dxa" w:w="120"/>
              <w:right w:type="dxa" w:w="120"/>
            </w:tcMar>
          </w:tcPr>
          <w:p>
            <w:pPr>
              <w:jc w:val="center"/>
            </w:pPr>
            <w:r>
              <w:rPr>
                <w:rFonts w:ascii="Arial" w:cs="Arial" w:eastAsia="Arial" w:hAnsi="Arial"/>
                <w:b/>
                <w:bCs/>
                <w:color w:val="7F77DD"/>
                <w:sz w:val="26"/>
                <w:szCs w:val="26"/>
              </w:rPr>
              <w:t xml:space="preserve">Business</w:t>
            </w:r>
          </w:p>
          <w:p>
            <w:pPr>
              <w:spacing w:after="0" w:before="60"/>
            </w:pPr>
            <w:r>
              <w:t xml:space="preserve"/>
            </w:r>
          </w:p>
          <w:p>
            <w:pPr>
              <w:jc w:val="center"/>
            </w:pPr>
            <w:r>
              <w:rPr>
                <w:rFonts w:ascii="Arial" w:cs="Arial" w:eastAsia="Arial" w:hAnsi="Arial"/>
                <w:b/>
                <w:bCs/>
                <w:color w:val="0F0F1A"/>
                <w:sz w:val="22"/>
                <w:szCs w:val="22"/>
              </w:rPr>
              <w:t xml:space="preserve">8 500 €/mois</w:t>
            </w:r>
          </w:p>
          <w:p>
            <w:pPr>
              <w:spacing w:after="0" w:before="40"/>
            </w:pPr>
            <w:r>
              <w:t xml:space="preserve"/>
            </w:r>
          </w:p>
          <w:p>
            <w:pPr>
              <w:jc w:val="center"/>
            </w:pPr>
            <w:r>
              <w:rPr>
                <w:rFonts w:ascii="Arial" w:cs="Arial" w:eastAsia="Arial" w:hAnsi="Arial"/>
                <w:color w:val="6060A0"/>
                <w:sz w:val="18"/>
                <w:szCs w:val="18"/>
              </w:rPr>
              <w:t xml:space="preserve">100K - 500K abonnes</w:t>
            </w:r>
          </w:p>
        </w:tc>
        <w:tc>
          <w:tcPr>
            <w:tcW w:type="dxa" w:w="2256"/>
            <w:tcBorders>
              <w:top w:val="single" w:color="CCCCCC" w:sz="1"/>
              <w:left w:val="single" w:color="CCCCCC" w:sz="1"/>
              <w:bottom w:val="single" w:color="CCCCCC" w:sz="1"/>
              <w:right w:val="single" w:color="CCCCCC" w:sz="1"/>
            </w:tcBorders>
            <w:shd w:fill="F8F8F8" w:val="clear"/>
            <w:tcMar>
              <w:top w:type="dxa" w:w="120"/>
              <w:left w:type="dxa" w:w="120"/>
              <w:bottom w:type="dxa" w:w="120"/>
              <w:right w:type="dxa" w:w="120"/>
            </w:tcMar>
          </w:tcPr>
          <w:p>
            <w:pPr>
              <w:jc w:val="center"/>
            </w:pPr>
            <w:r>
              <w:rPr>
                <w:rFonts w:ascii="Arial" w:cs="Arial" w:eastAsia="Arial" w:hAnsi="Arial"/>
                <w:b/>
                <w:bCs/>
                <w:color w:val="0F0F1A"/>
                <w:sz w:val="26"/>
                <w:szCs w:val="26"/>
              </w:rPr>
              <w:t xml:space="preserve">Enterprise</w:t>
            </w:r>
          </w:p>
          <w:p>
            <w:pPr>
              <w:spacing w:after="0" w:before="60"/>
            </w:pPr>
            <w:r>
              <w:t xml:space="preserve"/>
            </w:r>
          </w:p>
          <w:p>
            <w:pPr>
              <w:jc w:val="center"/>
            </w:pPr>
            <w:r>
              <w:rPr>
                <w:rFonts w:ascii="Arial" w:cs="Arial" w:eastAsia="Arial" w:hAnsi="Arial"/>
                <w:b/>
                <w:bCs/>
                <w:color w:val="0F0F1A"/>
                <w:sz w:val="22"/>
                <w:szCs w:val="22"/>
              </w:rPr>
              <w:t xml:space="preserve">Sur devis</w:t>
            </w:r>
          </w:p>
          <w:p>
            <w:pPr>
              <w:spacing w:after="0" w:before="40"/>
            </w:pPr>
            <w:r>
              <w:t xml:space="preserve"/>
            </w:r>
          </w:p>
          <w:p>
            <w:pPr>
              <w:jc w:val="center"/>
            </w:pPr>
            <w:r>
              <w:rPr>
                <w:rFonts w:ascii="Arial" w:cs="Arial" w:eastAsia="Arial" w:hAnsi="Arial"/>
                <w:color w:val="6060A0"/>
                <w:sz w:val="18"/>
                <w:szCs w:val="18"/>
              </w:rPr>
              <w:t xml:space="preserve">500K+ abonnes</w:t>
            </w:r>
          </w:p>
        </w:tc>
        <w:tc>
          <w:tcPr>
            <w:tcW w:type="dxa" w:w="2256"/>
            <w:tcBorders>
              <w:top w:val="single" w:color="CCCCCC" w:sz="1"/>
              <w:left w:val="single" w:color="CCCCCC" w:sz="1"/>
              <w:bottom w:val="single" w:color="CCCCCC" w:sz="1"/>
              <w:right w:val="single" w:color="CCCCCC" w:sz="1"/>
            </w:tcBorders>
            <w:shd w:fill="FFF8E1" w:val="clear"/>
            <w:tcMar>
              <w:top w:type="dxa" w:w="120"/>
              <w:left w:type="dxa" w:w="120"/>
              <w:bottom w:type="dxa" w:w="120"/>
              <w:right w:type="dxa" w:w="120"/>
            </w:tcMar>
          </w:tcPr>
          <w:p>
            <w:pPr>
              <w:jc w:val="center"/>
            </w:pPr>
            <w:r>
              <w:rPr>
                <w:rFonts w:ascii="Arial" w:cs="Arial" w:eastAsia="Arial" w:hAnsi="Arial"/>
                <w:b/>
                <w:bCs/>
                <w:color w:val="1D9E75"/>
                <w:sz w:val="26"/>
                <w:szCs w:val="26"/>
              </w:rPr>
              <w:t xml:space="preserve">POC Gratuit</w:t>
            </w:r>
          </w:p>
          <w:p>
            <w:pPr>
              <w:spacing w:after="0" w:before="60"/>
            </w:pPr>
            <w:r>
              <w:t xml:space="preserve"/>
            </w:r>
          </w:p>
          <w:p>
            <w:pPr>
              <w:jc w:val="center"/>
            </w:pPr>
            <w:r>
              <w:rPr>
                <w:rFonts w:ascii="Arial" w:cs="Arial" w:eastAsia="Arial" w:hAnsi="Arial"/>
                <w:b/>
                <w:bCs/>
                <w:color w:val="0F0F1A"/>
                <w:sz w:val="22"/>
                <w:szCs w:val="22"/>
              </w:rPr>
              <w:t xml:space="preserve">14 jours</w:t>
            </w:r>
          </w:p>
          <w:p>
            <w:pPr>
              <w:spacing w:after="0" w:before="40"/>
            </w:pPr>
            <w:r>
              <w:t xml:space="preserve"/>
            </w:r>
          </w:p>
          <w:p>
            <w:pPr>
              <w:jc w:val="center"/>
            </w:pPr>
            <w:r>
              <w:rPr>
                <w:rFonts w:ascii="Arial" w:cs="Arial" w:eastAsia="Arial" w:hAnsi="Arial"/>
                <w:color w:val="6060A0"/>
                <w:sz w:val="18"/>
                <w:szCs w:val="18"/>
              </w:rPr>
              <w:t xml:space="preserve">Sans engagement</w:t>
            </w:r>
          </w:p>
        </w:tc>
      </w:tr>
    </w:tbl>
    <w:p>
      <w:pPr>
        <w:spacing w:after="0" w:before="120"/>
      </w:pPr>
      <w:r>
        <w:t xml:space="preserve"/>
      </w:r>
    </w:p>
    <w:p>
      <w:pPr>
        <w:spacing w:after="80" w:before="80"/>
        <w:jc w:val="both"/>
      </w:pPr>
      <w:r>
        <w:rPr>
          <w:rFonts w:ascii="Arial" w:cs="Arial" w:eastAsia="Arial" w:hAnsi="Arial"/>
          <w:color w:val="333333"/>
          <w:sz w:val="22"/>
          <w:szCs w:val="22"/>
        </w:rPr>
        <w:t xml:space="preserve">Toutes les offres incluent : onboarding dedie, formation des equipes NOC, support 24/7 pendant les 3 premiers mois, et SLA de disponibilite garanti a 99.9%.</w:t>
      </w:r>
    </w:p>
    <w:p>
      <w:pPr>
        <w:pStyle w:val="Heading2"/>
        <w:spacing w:after="80" w:before="240"/>
      </w:pPr>
      <w:r>
        <w:rPr>
          <w:rFonts w:ascii="Arial" w:cs="Arial" w:eastAsia="Arial" w:hAnsi="Arial"/>
          <w:color w:val="7F77DD"/>
        </w:rPr>
        <w:t xml:space="preserve">5.2 Calcul du ROI pour un ISP</w:t>
      </w:r>
    </w:p>
    <w:p>
      <w:pPr>
        <w:spacing w:after="80" w:before="80"/>
        <w:jc w:val="both"/>
      </w:pPr>
      <w:r>
        <w:rPr>
          <w:rFonts w:ascii="Arial" w:cs="Arial" w:eastAsia="Arial" w:hAnsi="Arial"/>
          <w:color w:val="333333"/>
          <w:sz w:val="22"/>
          <w:szCs w:val="22"/>
        </w:rPr>
        <w:t xml:space="preserve">Sur la base d'un ISP de taille moyenne (500 000 abonnes, 8 incidents majeurs par mois, duree moyenne 45 minutes, perte horaire estimee a 80 000 €)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9026"/>
            <w:gridSpan w:val="2"/>
            <w:tcBorders>
              <w:top w:val="single" w:color="CCCCCC" w:sz="1"/>
              <w:left w:val="single" w:color="CCCCCC" w:sz="1"/>
              <w:bottom w:val="single" w:color="CCCCCC" w:sz="1"/>
              <w:right w:val="single" w:color="CCCCCC" w:sz="1"/>
            </w:tcBorders>
            <w:shd w:fill="0F0F1A"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Simulation ROI — ISP 500K abonnes</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Pertes mensuelles sans solution</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E24B4A"/>
                <w:sz w:val="22"/>
                <w:szCs w:val="22"/>
              </w:rPr>
              <w:t xml:space="preserve">480 000 €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Reduction des pertes avec StreamAnalytics (85%)</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1D9E75"/>
                <w:sz w:val="22"/>
                <w:szCs w:val="22"/>
              </w:rPr>
              <w:t xml:space="preserve">- 408 000 €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Cout mensuel abonnement Business</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6060A0"/>
                <w:sz w:val="22"/>
                <w:szCs w:val="22"/>
              </w:rPr>
              <w:t xml:space="preserve">8 500 €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Economies nettes mensuelles</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1D9E75"/>
                <w:sz w:val="22"/>
                <w:szCs w:val="22"/>
              </w:rPr>
              <w:t xml:space="preserve">399 500 €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ROI annuel net</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1D9E75"/>
                <w:sz w:val="22"/>
                <w:szCs w:val="22"/>
              </w:rPr>
              <w:t xml:space="preserve">4 794 000 €</w:t>
            </w:r>
          </w:p>
        </w:tc>
      </w:tr>
      <w:tr>
        <w:tc>
          <w:tcPr>
            <w:tcW w:type="dxa" w:w="5500"/>
            <w:tcBorders>
              <w:top w:val="single" w:color="CCCCCC" w:sz="1"/>
              <w:left w:val="single" w:color="CCCCCC" w:sz="1"/>
              <w:bottom w:val="single" w:color="CCCCCC" w:sz="1"/>
              <w:right w:val="single" w:color="CCCCCC" w:sz="1"/>
            </w:tcBorders>
            <w:tcMar>
              <w:top w:type="dxa" w:w="60"/>
              <w:left w:type="dxa" w:w="160"/>
              <w:bottom w:type="dxa" w:w="60"/>
              <w:right w:type="dxa" w:w="80"/>
            </w:tcMar>
          </w:tcPr>
          <w:p>
            <w:r>
              <w:rPr>
                <w:rFonts w:ascii="Arial" w:cs="Arial" w:eastAsia="Arial" w:hAnsi="Arial"/>
                <w:color w:val="333333"/>
                <w:sz w:val="20"/>
                <w:szCs w:val="20"/>
              </w:rPr>
              <w:t xml:space="preserve">Payback period</w:t>
            </w:r>
          </w:p>
        </w:tc>
        <w:tc>
          <w:tcPr>
            <w:tcW w:type="dxa" w:w="3526"/>
            <w:tcBorders>
              <w:top w:val="single" w:color="CCCCCC" w:sz="1"/>
              <w:left w:val="single" w:color="CCCCCC" w:sz="1"/>
              <w:bottom w:val="single" w:color="CCCCCC" w:sz="1"/>
              <w:right w:val="single" w:color="CCCCCC" w:sz="1"/>
            </w:tcBorders>
            <w:tcMar>
              <w:top w:type="dxa" w:w="60"/>
              <w:left w:type="dxa" w:w="80"/>
              <w:bottom w:type="dxa" w:w="60"/>
              <w:right w:type="dxa" w:w="160"/>
            </w:tcMar>
          </w:tcPr>
          <w:p>
            <w:pPr>
              <w:jc w:val="center"/>
            </w:pPr>
            <w:r>
              <w:rPr>
                <w:rFonts w:ascii="Arial" w:cs="Arial" w:eastAsia="Arial" w:hAnsi="Arial"/>
                <w:b/>
                <w:bCs/>
                <w:color w:val="7F77DD"/>
                <w:sz w:val="22"/>
                <w:szCs w:val="22"/>
              </w:rPr>
              <w:t xml:space="preserve">&lt; 1 semaine</w:t>
            </w:r>
          </w:p>
        </w:tc>
      </w:tr>
    </w:tbl>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6. Strategie Go-To-Market ISP</w:t>
      </w:r>
    </w:p>
    <w:p>
      <w:pPr>
        <w:pStyle w:val="Heading2"/>
        <w:spacing w:after="80" w:before="240"/>
      </w:pPr>
      <w:r>
        <w:rPr>
          <w:rFonts w:ascii="Arial" w:cs="Arial" w:eastAsia="Arial" w:hAnsi="Arial"/>
          <w:color w:val="7F77DD"/>
        </w:rPr>
        <w:t xml:space="preserve">6.1 Approche de vente</w:t>
      </w:r>
    </w:p>
    <w:p>
      <w:pPr>
        <w:spacing w:after="80" w:before="80"/>
        <w:jc w:val="both"/>
      </w:pPr>
      <w:r>
        <w:rPr>
          <w:rFonts w:ascii="Arial" w:cs="Arial" w:eastAsia="Arial" w:hAnsi="Arial"/>
          <w:color w:val="333333"/>
          <w:sz w:val="22"/>
          <w:szCs w:val="22"/>
        </w:rPr>
        <w:t xml:space="preserve">La vente aux ISP est un cycle long (3 a 9 mois) impliquant plusieurs parties prenantes. Notre strategie s'articule en trois phases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8"/>
        <w:gridCol w:w="2509"/>
        <w:gridCol w:w="2509"/>
      </w:tblGrid>
      <w:tr>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Arial" w:cs="Arial" w:eastAsia="Arial" w:hAnsi="Arial"/>
                <w:b/>
                <w:bCs/>
                <w:color w:val="7F77DD"/>
                <w:sz w:val="20"/>
                <w:szCs w:val="20"/>
              </w:rPr>
              <w:t xml:space="preserve">Phase</w:t>
            </w:r>
          </w:p>
        </w:tc>
        <w:tc>
          <w:tcPr>
            <w:tcW w:type="dxa" w:w="2508"/>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r>
              <w:rPr>
                <w:rFonts w:ascii="Arial" w:cs="Arial" w:eastAsia="Arial" w:hAnsi="Arial"/>
                <w:b/>
                <w:bCs/>
                <w:color w:val="7F77DD"/>
                <w:sz w:val="20"/>
                <w:szCs w:val="20"/>
              </w:rPr>
              <w:t xml:space="preserve">Etape</w:t>
            </w:r>
          </w:p>
        </w:tc>
        <w:tc>
          <w:tcPr>
            <w:tcW w:type="dxa" w:w="2509"/>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r>
              <w:rPr>
                <w:rFonts w:ascii="Arial" w:cs="Arial" w:eastAsia="Arial" w:hAnsi="Arial"/>
                <w:b/>
                <w:bCs/>
                <w:color w:val="7F77DD"/>
                <w:sz w:val="20"/>
                <w:szCs w:val="20"/>
              </w:rPr>
              <w:t xml:space="preserve">Action</w:t>
            </w:r>
          </w:p>
        </w:tc>
        <w:tc>
          <w:tcPr>
            <w:tcW w:type="dxa" w:w="2509"/>
            <w:tcBorders>
              <w:top w:val="single" w:color="CCCCCC" w:sz="1"/>
              <w:left w:val="single" w:color="CCCCCC" w:sz="1"/>
              <w:bottom w:val="single" w:color="CCCCCC" w:sz="1"/>
              <w:right w:val="single" w:color="CCCCCC" w:sz="1"/>
            </w:tcBorders>
            <w:shd w:fill="EEEDfe" w:val="clear"/>
            <w:tcMar>
              <w:top w:type="dxa" w:w="80"/>
              <w:left w:type="dxa" w:w="80"/>
              <w:bottom w:type="dxa" w:w="80"/>
              <w:right w:type="dxa" w:w="120"/>
            </w:tcMar>
          </w:tcPr>
          <w:p>
            <w:r>
              <w:rPr>
                <w:rFonts w:ascii="Arial" w:cs="Arial" w:eastAsia="Arial" w:hAnsi="Arial"/>
                <w:b/>
                <w:bCs/>
                <w:color w:val="7F77DD"/>
                <w:sz w:val="20"/>
                <w:szCs w:val="20"/>
              </w:rPr>
              <w:t xml:space="preserve">Duree</w:t>
            </w:r>
          </w:p>
        </w:tc>
      </w:tr>
      <w:tr>
        <w:tc>
          <w:tcPr>
            <w:tcW w:type="dxa" w:w="1500"/>
            <w:tcBorders>
              <w:top w:val="single" w:color="CCCCCC" w:sz="1"/>
              <w:left w:val="single" w:color="CCCCCC" w:sz="1"/>
              <w:bottom w:val="single" w:color="CCCCCC" w:sz="1"/>
              <w:right w:val="single" w:color="CCCCCC" w:sz="1"/>
            </w:tcBorders>
            <w:shd w:fill="F4F3FE" w:val="clear"/>
            <w:tcMar>
              <w:top w:type="dxa" w:w="60"/>
              <w:left w:type="dxa" w:w="120"/>
              <w:bottom w:type="dxa" w:w="60"/>
              <w:right w:type="dxa" w:w="80"/>
            </w:tcMar>
          </w:tcPr>
          <w:p>
            <w:r>
              <w:rPr>
                <w:rFonts w:ascii="Arial" w:cs="Arial" w:eastAsia="Arial" w:hAnsi="Arial"/>
                <w:b/>
                <w:bCs/>
                <w:color w:val="7F77DD"/>
                <w:sz w:val="20"/>
                <w:szCs w:val="20"/>
              </w:rPr>
              <w:t xml:space="preserve">Phase 1</w:t>
            </w:r>
          </w:p>
        </w:tc>
        <w:tc>
          <w:tcPr>
            <w:tcW w:type="dxa" w:w="250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F0F1A"/>
                <w:sz w:val="20"/>
                <w:szCs w:val="20"/>
              </w:rPr>
              <w:t xml:space="preserve">Decouverte</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444444"/>
                <w:sz w:val="19"/>
                <w:szCs w:val="19"/>
              </w:rPr>
              <w:t xml:space="preserve">Demo interactive 30 min + ROI calculator personnalise</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120"/>
            </w:tcMar>
          </w:tcPr>
          <w:p>
            <w:pPr>
              <w:jc w:val="center"/>
            </w:pPr>
            <w:r>
              <w:rPr>
                <w:rFonts w:ascii="Arial" w:cs="Arial" w:eastAsia="Arial" w:hAnsi="Arial"/>
                <w:color w:val="6060A0"/>
                <w:sz w:val="19"/>
                <w:szCs w:val="19"/>
              </w:rPr>
              <w:t xml:space="preserve">Semaine 1</w:t>
            </w:r>
          </w:p>
        </w:tc>
      </w:tr>
      <w:tr>
        <w:tc>
          <w:tcPr>
            <w:tcW w:type="dxa" w:w="1500"/>
            <w:tcBorders>
              <w:top w:val="single" w:color="CCCCCC" w:sz="1"/>
              <w:left w:val="single" w:color="CCCCCC" w:sz="1"/>
              <w:bottom w:val="single" w:color="CCCCCC" w:sz="1"/>
              <w:right w:val="single" w:color="CCCCCC" w:sz="1"/>
            </w:tcBorders>
            <w:shd w:fill="F4F3FE" w:val="clear"/>
            <w:tcMar>
              <w:top w:type="dxa" w:w="60"/>
              <w:left w:type="dxa" w:w="120"/>
              <w:bottom w:type="dxa" w:w="60"/>
              <w:right w:type="dxa" w:w="80"/>
            </w:tcMar>
          </w:tcPr>
          <w:p>
            <w:r>
              <w:rPr>
                <w:rFonts w:ascii="Arial" w:cs="Arial" w:eastAsia="Arial" w:hAnsi="Arial"/>
                <w:b/>
                <w:bCs/>
                <w:color w:val="7F77DD"/>
                <w:sz w:val="20"/>
                <w:szCs w:val="20"/>
              </w:rPr>
              <w:t xml:space="preserve">Phase 2</w:t>
            </w:r>
          </w:p>
        </w:tc>
        <w:tc>
          <w:tcPr>
            <w:tcW w:type="dxa" w:w="250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F0F1A"/>
                <w:sz w:val="20"/>
                <w:szCs w:val="20"/>
              </w:rPr>
              <w:t xml:space="preserve">POC</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444444"/>
                <w:sz w:val="19"/>
                <w:szCs w:val="19"/>
              </w:rPr>
              <w:t xml:space="preserve">14 jours gratuits sur infrastructure reelle de l'ISP</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120"/>
            </w:tcMar>
          </w:tcPr>
          <w:p>
            <w:pPr>
              <w:jc w:val="center"/>
            </w:pPr>
            <w:r>
              <w:rPr>
                <w:rFonts w:ascii="Arial" w:cs="Arial" w:eastAsia="Arial" w:hAnsi="Arial"/>
                <w:color w:val="6060A0"/>
                <w:sz w:val="19"/>
                <w:szCs w:val="19"/>
              </w:rPr>
              <w:t xml:space="preserve">Semaines 2-4</w:t>
            </w:r>
          </w:p>
        </w:tc>
      </w:tr>
      <w:tr>
        <w:tc>
          <w:tcPr>
            <w:tcW w:type="dxa" w:w="1500"/>
            <w:tcBorders>
              <w:top w:val="single" w:color="CCCCCC" w:sz="1"/>
              <w:left w:val="single" w:color="CCCCCC" w:sz="1"/>
              <w:bottom w:val="single" w:color="CCCCCC" w:sz="1"/>
              <w:right w:val="single" w:color="CCCCCC" w:sz="1"/>
            </w:tcBorders>
            <w:shd w:fill="F4F3FE" w:val="clear"/>
            <w:tcMar>
              <w:top w:type="dxa" w:w="60"/>
              <w:left w:type="dxa" w:w="120"/>
              <w:bottom w:type="dxa" w:w="60"/>
              <w:right w:type="dxa" w:w="80"/>
            </w:tcMar>
          </w:tcPr>
          <w:p>
            <w:r>
              <w:rPr>
                <w:rFonts w:ascii="Arial" w:cs="Arial" w:eastAsia="Arial" w:hAnsi="Arial"/>
                <w:b/>
                <w:bCs/>
                <w:color w:val="7F77DD"/>
                <w:sz w:val="20"/>
                <w:szCs w:val="20"/>
              </w:rPr>
              <w:t xml:space="preserve">Phase 3</w:t>
            </w:r>
          </w:p>
        </w:tc>
        <w:tc>
          <w:tcPr>
            <w:tcW w:type="dxa" w:w="250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F0F1A"/>
                <w:sz w:val="20"/>
                <w:szCs w:val="20"/>
              </w:rPr>
              <w:t xml:space="preserve">Closing</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444444"/>
                <w:sz w:val="19"/>
                <w:szCs w:val="19"/>
              </w:rPr>
              <w:t xml:space="preserve">Presentation des resultats POC + proposition commerciale</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120"/>
            </w:tcMar>
          </w:tcPr>
          <w:p>
            <w:pPr>
              <w:jc w:val="center"/>
            </w:pPr>
            <w:r>
              <w:rPr>
                <w:rFonts w:ascii="Arial" w:cs="Arial" w:eastAsia="Arial" w:hAnsi="Arial"/>
                <w:color w:val="6060A0"/>
                <w:sz w:val="19"/>
                <w:szCs w:val="19"/>
              </w:rPr>
              <w:t xml:space="preserve">Semaine 5-6</w:t>
            </w:r>
          </w:p>
        </w:tc>
      </w:tr>
      <w:tr>
        <w:tc>
          <w:tcPr>
            <w:tcW w:type="dxa" w:w="1500"/>
            <w:tcBorders>
              <w:top w:val="single" w:color="CCCCCC" w:sz="1"/>
              <w:left w:val="single" w:color="CCCCCC" w:sz="1"/>
              <w:bottom w:val="single" w:color="CCCCCC" w:sz="1"/>
              <w:right w:val="single" w:color="CCCCCC" w:sz="1"/>
            </w:tcBorders>
            <w:shd w:fill="F4F3FE" w:val="clear"/>
            <w:tcMar>
              <w:top w:type="dxa" w:w="60"/>
              <w:left w:type="dxa" w:w="120"/>
              <w:bottom w:type="dxa" w:w="60"/>
              <w:right w:type="dxa" w:w="80"/>
            </w:tcMar>
          </w:tcPr>
          <w:p>
            <w:r>
              <w:rPr>
                <w:rFonts w:ascii="Arial" w:cs="Arial" w:eastAsia="Arial" w:hAnsi="Arial"/>
                <w:b/>
                <w:bCs/>
                <w:color w:val="7F77DD"/>
                <w:sz w:val="20"/>
                <w:szCs w:val="20"/>
              </w:rPr>
              <w:t xml:space="preserve">Phase 4</w:t>
            </w:r>
          </w:p>
        </w:tc>
        <w:tc>
          <w:tcPr>
            <w:tcW w:type="dxa" w:w="2508"/>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bCs/>
                <w:color w:val="0F0F1A"/>
                <w:sz w:val="20"/>
                <w:szCs w:val="20"/>
              </w:rPr>
              <w:t xml:space="preserve">Deploiement</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444444"/>
                <w:sz w:val="19"/>
                <w:szCs w:val="19"/>
              </w:rPr>
              <w:t xml:space="preserve">Go-live en 48h + formation equipes NOC</w:t>
            </w:r>
          </w:p>
        </w:tc>
        <w:tc>
          <w:tcPr>
            <w:tcW w:type="dxa" w:w="2509"/>
            <w:tcBorders>
              <w:top w:val="single" w:color="CCCCCC" w:sz="1"/>
              <w:left w:val="single" w:color="CCCCCC" w:sz="1"/>
              <w:bottom w:val="single" w:color="CCCCCC" w:sz="1"/>
              <w:right w:val="single" w:color="CCCCCC" w:sz="1"/>
            </w:tcBorders>
            <w:tcMar>
              <w:top w:type="dxa" w:w="60"/>
              <w:left w:type="dxa" w:w="80"/>
              <w:bottom w:type="dxa" w:w="60"/>
              <w:right w:type="dxa" w:w="120"/>
            </w:tcMar>
          </w:tcPr>
          <w:p>
            <w:pPr>
              <w:jc w:val="center"/>
            </w:pPr>
            <w:r>
              <w:rPr>
                <w:rFonts w:ascii="Arial" w:cs="Arial" w:eastAsia="Arial" w:hAnsi="Arial"/>
                <w:color w:val="6060A0"/>
                <w:sz w:val="19"/>
                <w:szCs w:val="19"/>
              </w:rPr>
              <w:t xml:space="preserve">Semaine 7-8</w:t>
            </w:r>
          </w:p>
        </w:tc>
      </w:tr>
    </w:tbl>
    <w:p>
      <w:pPr>
        <w:pStyle w:val="Heading2"/>
        <w:spacing w:after="80" w:before="240"/>
      </w:pPr>
      <w:r>
        <w:rPr>
          <w:rFonts w:ascii="Arial" w:cs="Arial" w:eastAsia="Arial" w:hAnsi="Arial"/>
          <w:color w:val="7F77DD"/>
        </w:rPr>
        <w:t xml:space="preserve">6.2 Interlocuteurs cles chez un ISP</w:t>
      </w:r>
    </w:p>
    <w:p>
      <w:pPr>
        <w:pStyle w:val="ListParagraph"/>
        <w:numPr>
          <w:ilvl w:val="0"/>
          <w:numId w:val="2"/>
        </w:numPr>
        <w:spacing w:after="40" w:before="40"/>
      </w:pPr>
      <w:r>
        <w:rPr>
          <w:rFonts w:ascii="Arial" w:cs="Arial" w:eastAsia="Arial" w:hAnsi="Arial"/>
          <w:b/>
          <w:bCs/>
          <w:color w:val="0F0F1A"/>
          <w:sz w:val="22"/>
          <w:szCs w:val="22"/>
        </w:rPr>
        <w:t xml:space="preserve">Champion technique :</w:t>
      </w:r>
      <w:r>
        <w:rPr>
          <w:rFonts w:ascii="Arial" w:cs="Arial" w:eastAsia="Arial" w:hAnsi="Arial"/>
          <w:color w:val="333333"/>
          <w:sz w:val="22"/>
          <w:szCs w:val="22"/>
        </w:rPr>
        <w:t xml:space="preserve"> DSI / CTO : acces au budget, vision strategique</w:t>
      </w:r>
    </w:p>
    <w:p>
      <w:pPr>
        <w:pStyle w:val="ListParagraph"/>
        <w:numPr>
          <w:ilvl w:val="0"/>
          <w:numId w:val="2"/>
        </w:numPr>
        <w:spacing w:after="40" w:before="40"/>
      </w:pPr>
      <w:r>
        <w:rPr>
          <w:rFonts w:ascii="Arial" w:cs="Arial" w:eastAsia="Arial" w:hAnsi="Arial"/>
          <w:b/>
          <w:bCs/>
          <w:color w:val="0F0F1A"/>
          <w:sz w:val="22"/>
          <w:szCs w:val="22"/>
        </w:rPr>
        <w:t xml:space="preserve">Champion operationnel :</w:t>
      </w:r>
      <w:r>
        <w:rPr>
          <w:rFonts w:ascii="Arial" w:cs="Arial" w:eastAsia="Arial" w:hAnsi="Arial"/>
          <w:color w:val="333333"/>
          <w:sz w:val="22"/>
          <w:szCs w:val="22"/>
        </w:rPr>
        <w:t xml:space="preserve"> Directeur Network Operations Center (NOC) : utilisateur quotidien de l'outil</w:t>
      </w:r>
    </w:p>
    <w:p>
      <w:pPr>
        <w:pStyle w:val="ListParagraph"/>
        <w:numPr>
          <w:ilvl w:val="0"/>
          <w:numId w:val="2"/>
        </w:numPr>
        <w:spacing w:after="40" w:before="40"/>
      </w:pPr>
      <w:r>
        <w:rPr>
          <w:rFonts w:ascii="Arial" w:cs="Arial" w:eastAsia="Arial" w:hAnsi="Arial"/>
          <w:b/>
          <w:bCs/>
          <w:color w:val="0F0F1A"/>
          <w:sz w:val="22"/>
          <w:szCs w:val="22"/>
        </w:rPr>
        <w:t xml:space="preserve">Validateur :</w:t>
      </w:r>
      <w:r>
        <w:rPr>
          <w:rFonts w:ascii="Arial" w:cs="Arial" w:eastAsia="Arial" w:hAnsi="Arial"/>
          <w:color w:val="333333"/>
          <w:sz w:val="22"/>
          <w:szCs w:val="22"/>
        </w:rPr>
        <w:t xml:space="preserve"> Directeur Technique / VP Engineering : validation de l'architecture</w:t>
      </w:r>
    </w:p>
    <w:p>
      <w:pPr>
        <w:pStyle w:val="ListParagraph"/>
        <w:numPr>
          <w:ilvl w:val="0"/>
          <w:numId w:val="2"/>
        </w:numPr>
        <w:spacing w:after="40" w:before="40"/>
      </w:pPr>
      <w:r>
        <w:rPr>
          <w:rFonts w:ascii="Arial" w:cs="Arial" w:eastAsia="Arial" w:hAnsi="Arial"/>
          <w:b/>
          <w:bCs/>
          <w:color w:val="0F0F1A"/>
          <w:sz w:val="22"/>
          <w:szCs w:val="22"/>
        </w:rPr>
        <w:t xml:space="preserve">Decideur final :</w:t>
      </w:r>
      <w:r>
        <w:rPr>
          <w:rFonts w:ascii="Arial" w:cs="Arial" w:eastAsia="Arial" w:hAnsi="Arial"/>
          <w:color w:val="333333"/>
          <w:sz w:val="22"/>
          <w:szCs w:val="22"/>
        </w:rPr>
        <w:t xml:space="preserve"> Direction Generale / CFO : validation ROI et signature contrat</w:t>
      </w:r>
    </w:p>
    <w:p>
      <w:pPr>
        <w:pStyle w:val="Heading2"/>
        <w:spacing w:after="80" w:before="240"/>
      </w:pPr>
      <w:r>
        <w:rPr>
          <w:rFonts w:ascii="Arial" w:cs="Arial" w:eastAsia="Arial" w:hAnsi="Arial"/>
          <w:color w:val="7F77DD"/>
        </w:rPr>
        <w:t xml:space="preserve">6.3 Arguments de vente par interlocuteur</w:t>
      </w:r>
    </w:p>
    <w:p>
      <w:pPr>
        <w:pStyle w:val="Heading3"/>
        <w:spacing w:after="60" w:before="160"/>
      </w:pPr>
      <w:r>
        <w:rPr>
          <w:rFonts w:ascii="Arial" w:cs="Arial" w:eastAsia="Arial" w:hAnsi="Arial"/>
          <w:color w:val="0F0F1A"/>
        </w:rPr>
        <w:t xml:space="preserve">Pour le DSI / CTO</w:t>
      </w:r>
    </w:p>
    <w:p>
      <w:pPr>
        <w:pStyle w:val="ListParagraph"/>
        <w:numPr>
          <w:ilvl w:val="0"/>
          <w:numId w:val="2"/>
        </w:numPr>
        <w:spacing w:after="40" w:before="40"/>
      </w:pPr>
      <w:r>
        <w:rPr>
          <w:rFonts w:ascii="Arial" w:cs="Arial" w:eastAsia="Arial" w:hAnsi="Arial"/>
          <w:color w:val="333333"/>
          <w:sz w:val="22"/>
          <w:szCs w:val="22"/>
        </w:rPr>
        <w:t xml:space="preserve">Integration en 48h avec l'infrastructure existante (API REST, Kafka, Prometheus)</w:t>
      </w:r>
    </w:p>
    <w:p>
      <w:pPr>
        <w:pStyle w:val="ListParagraph"/>
        <w:numPr>
          <w:ilvl w:val="0"/>
          <w:numId w:val="2"/>
        </w:numPr>
        <w:spacing w:after="40" w:before="40"/>
      </w:pPr>
      <w:r>
        <w:rPr>
          <w:rFonts w:ascii="Arial" w:cs="Arial" w:eastAsia="Arial" w:hAnsi="Arial"/>
          <w:color w:val="333333"/>
          <w:sz w:val="22"/>
          <w:szCs w:val="22"/>
        </w:rPr>
        <w:t xml:space="preserve">Aucun agent a installer sur les equipements reseau</w:t>
      </w:r>
    </w:p>
    <w:p>
      <w:pPr>
        <w:pStyle w:val="ListParagraph"/>
        <w:numPr>
          <w:ilvl w:val="0"/>
          <w:numId w:val="2"/>
        </w:numPr>
        <w:spacing w:after="40" w:before="40"/>
      </w:pPr>
      <w:r>
        <w:rPr>
          <w:rFonts w:ascii="Arial" w:cs="Arial" w:eastAsia="Arial" w:hAnsi="Arial"/>
          <w:color w:val="333333"/>
          <w:sz w:val="22"/>
          <w:szCs w:val="22"/>
        </w:rPr>
        <w:t xml:space="preserve">RGPD compliant — donnees hebergees en Europe</w:t>
      </w:r>
    </w:p>
    <w:p>
      <w:pPr>
        <w:pStyle w:val="ListParagraph"/>
        <w:numPr>
          <w:ilvl w:val="0"/>
          <w:numId w:val="2"/>
        </w:numPr>
        <w:spacing w:after="40" w:before="40"/>
      </w:pPr>
      <w:r>
        <w:rPr>
          <w:rFonts w:ascii="Arial" w:cs="Arial" w:eastAsia="Arial" w:hAnsi="Arial"/>
          <w:color w:val="333333"/>
          <w:sz w:val="22"/>
          <w:szCs w:val="22"/>
        </w:rPr>
        <w:t xml:space="preserve">Roadmap produit alignee avec les standards ETSI et 3GPP</w:t>
      </w:r>
    </w:p>
    <w:p>
      <w:pPr>
        <w:pStyle w:val="Heading3"/>
        <w:spacing w:after="60" w:before="160"/>
      </w:pPr>
      <w:r>
        <w:rPr>
          <w:rFonts w:ascii="Arial" w:cs="Arial" w:eastAsia="Arial" w:hAnsi="Arial"/>
          <w:color w:val="0F0F1A"/>
        </w:rPr>
        <w:t xml:space="preserve">Pour le Directeur NOC</w:t>
      </w:r>
    </w:p>
    <w:p>
      <w:pPr>
        <w:pStyle w:val="ListParagraph"/>
        <w:numPr>
          <w:ilvl w:val="0"/>
          <w:numId w:val="2"/>
        </w:numPr>
        <w:spacing w:after="40" w:before="40"/>
      </w:pPr>
      <w:r>
        <w:rPr>
          <w:rFonts w:ascii="Arial" w:cs="Arial" w:eastAsia="Arial" w:hAnsi="Arial"/>
          <w:color w:val="333333"/>
          <w:sz w:val="22"/>
          <w:szCs w:val="22"/>
        </w:rPr>
        <w:t xml:space="preserve">Reduction de 85% du temps de diagnostic d'un incident</w:t>
      </w:r>
    </w:p>
    <w:p>
      <w:pPr>
        <w:pStyle w:val="ListParagraph"/>
        <w:numPr>
          <w:ilvl w:val="0"/>
          <w:numId w:val="2"/>
        </w:numPr>
        <w:spacing w:after="40" w:before="40"/>
      </w:pPr>
      <w:r>
        <w:rPr>
          <w:rFonts w:ascii="Arial" w:cs="Arial" w:eastAsia="Arial" w:hAnsi="Arial"/>
          <w:color w:val="333333"/>
          <w:sz w:val="22"/>
          <w:szCs w:val="22"/>
        </w:rPr>
        <w:t xml:space="preserve">Un seul tableau de bord pour tous les services streaming</w:t>
      </w:r>
    </w:p>
    <w:p>
      <w:pPr>
        <w:pStyle w:val="ListParagraph"/>
        <w:numPr>
          <w:ilvl w:val="0"/>
          <w:numId w:val="2"/>
        </w:numPr>
        <w:spacing w:after="40" w:before="40"/>
      </w:pPr>
      <w:r>
        <w:rPr>
          <w:rFonts w:ascii="Arial" w:cs="Arial" w:eastAsia="Arial" w:hAnsi="Arial"/>
          <w:color w:val="333333"/>
          <w:sz w:val="22"/>
          <w:szCs w:val="22"/>
        </w:rPr>
        <w:t xml:space="preserve">AI Copilot disponible 24/7 — repond aux questions en langage naturel</w:t>
      </w:r>
    </w:p>
    <w:p>
      <w:pPr>
        <w:pStyle w:val="ListParagraph"/>
        <w:numPr>
          <w:ilvl w:val="0"/>
          <w:numId w:val="2"/>
        </w:numPr>
        <w:spacing w:after="40" w:before="40"/>
      </w:pPr>
      <w:r>
        <w:rPr>
          <w:rFonts w:ascii="Arial" w:cs="Arial" w:eastAsia="Arial" w:hAnsi="Arial"/>
          <w:color w:val="333333"/>
          <w:sz w:val="22"/>
          <w:szCs w:val="22"/>
        </w:rPr>
        <w:t xml:space="preserve">Alertes contextualisees — moins de faux positifs</w:t>
      </w:r>
    </w:p>
    <w:p>
      <w:pPr>
        <w:pStyle w:val="Heading3"/>
        <w:spacing w:after="60" w:before="160"/>
      </w:pPr>
      <w:r>
        <w:rPr>
          <w:rFonts w:ascii="Arial" w:cs="Arial" w:eastAsia="Arial" w:hAnsi="Arial"/>
          <w:color w:val="0F0F1A"/>
        </w:rPr>
        <w:t xml:space="preserve">Pour le CFO</w:t>
      </w:r>
    </w:p>
    <w:p>
      <w:pPr>
        <w:pStyle w:val="ListParagraph"/>
        <w:numPr>
          <w:ilvl w:val="0"/>
          <w:numId w:val="2"/>
        </w:numPr>
        <w:spacing w:after="40" w:before="40"/>
      </w:pPr>
      <w:r>
        <w:rPr>
          <w:rFonts w:ascii="Arial" w:cs="Arial" w:eastAsia="Arial" w:hAnsi="Arial"/>
          <w:color w:val="333333"/>
          <w:sz w:val="22"/>
          <w:szCs w:val="22"/>
        </w:rPr>
        <w:t xml:space="preserve">ROI demonstre en moins de 30 jours (POC gratuit)</w:t>
      </w:r>
    </w:p>
    <w:p>
      <w:pPr>
        <w:pStyle w:val="ListParagraph"/>
        <w:numPr>
          <w:ilvl w:val="0"/>
          <w:numId w:val="2"/>
        </w:numPr>
        <w:spacing w:after="40" w:before="40"/>
      </w:pPr>
      <w:r>
        <w:rPr>
          <w:rFonts w:ascii="Arial" w:cs="Arial" w:eastAsia="Arial" w:hAnsi="Arial"/>
          <w:color w:val="333333"/>
          <w:sz w:val="22"/>
          <w:szCs w:val="22"/>
        </w:rPr>
        <w:t xml:space="preserve">Modele SaaS — aucun CAPEX, 100% OPEX</w:t>
      </w:r>
    </w:p>
    <w:p>
      <w:pPr>
        <w:pStyle w:val="ListParagraph"/>
        <w:numPr>
          <w:ilvl w:val="0"/>
          <w:numId w:val="2"/>
        </w:numPr>
        <w:spacing w:after="40" w:before="40"/>
      </w:pPr>
      <w:r>
        <w:rPr>
          <w:rFonts w:ascii="Arial" w:cs="Arial" w:eastAsia="Arial" w:hAnsi="Arial"/>
          <w:color w:val="333333"/>
          <w:sz w:val="22"/>
          <w:szCs w:val="22"/>
        </w:rPr>
        <w:t xml:space="preserve">Payback period inferieur a 1 semaine</w:t>
      </w:r>
    </w:p>
    <w:p>
      <w:pPr>
        <w:pStyle w:val="ListParagraph"/>
        <w:numPr>
          <w:ilvl w:val="0"/>
          <w:numId w:val="2"/>
        </w:numPr>
        <w:spacing w:after="40" w:before="40"/>
      </w:pPr>
      <w:r>
        <w:rPr>
          <w:rFonts w:ascii="Arial" w:cs="Arial" w:eastAsia="Arial" w:hAnsi="Arial"/>
          <w:color w:val="333333"/>
          <w:sz w:val="22"/>
          <w:szCs w:val="22"/>
        </w:rPr>
        <w:t xml:space="preserve">Reduction des penalites SLA</w:t>
      </w:r>
    </w:p>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7. Projections Financieres</w:t>
      </w:r>
    </w:p>
    <w:p>
      <w:pPr>
        <w:pStyle w:val="Heading2"/>
        <w:spacing w:after="80" w:before="240"/>
      </w:pPr>
      <w:r>
        <w:rPr>
          <w:rFonts w:ascii="Arial" w:cs="Arial" w:eastAsia="Arial" w:hAnsi="Arial"/>
          <w:color w:val="7F77DD"/>
        </w:rPr>
        <w:t xml:space="preserve">7.1 Hypotheses de marche</w:t>
      </w:r>
    </w:p>
    <w:p>
      <w:pPr>
        <w:pStyle w:val="ListParagraph"/>
        <w:numPr>
          <w:ilvl w:val="0"/>
          <w:numId w:val="2"/>
        </w:numPr>
        <w:spacing w:after="40" w:before="40"/>
      </w:pPr>
      <w:r>
        <w:rPr>
          <w:rFonts w:ascii="Arial" w:cs="Arial" w:eastAsia="Arial" w:hAnsi="Arial"/>
          <w:color w:val="333333"/>
          <w:sz w:val="22"/>
          <w:szCs w:val="22"/>
        </w:rPr>
        <w:t xml:space="preserve">Marche adressable France : 15 ISP nationaux et regionaux</w:t>
      </w:r>
    </w:p>
    <w:p>
      <w:pPr>
        <w:pStyle w:val="ListParagraph"/>
        <w:numPr>
          <w:ilvl w:val="0"/>
          <w:numId w:val="2"/>
        </w:numPr>
        <w:spacing w:after="40" w:before="40"/>
      </w:pPr>
      <w:r>
        <w:rPr>
          <w:rFonts w:ascii="Arial" w:cs="Arial" w:eastAsia="Arial" w:hAnsi="Arial"/>
          <w:color w:val="333333"/>
          <w:sz w:val="22"/>
          <w:szCs w:val="22"/>
        </w:rPr>
        <w:t xml:space="preserve">Marche adressable Europe : 120 ISP</w:t>
      </w:r>
    </w:p>
    <w:p>
      <w:pPr>
        <w:pStyle w:val="ListParagraph"/>
        <w:numPr>
          <w:ilvl w:val="0"/>
          <w:numId w:val="2"/>
        </w:numPr>
        <w:spacing w:after="40" w:before="40"/>
      </w:pPr>
      <w:r>
        <w:rPr>
          <w:rFonts w:ascii="Arial" w:cs="Arial" w:eastAsia="Arial" w:hAnsi="Arial"/>
          <w:color w:val="333333"/>
          <w:sz w:val="22"/>
          <w:szCs w:val="22"/>
        </w:rPr>
        <w:t xml:space="preserve">Taux de conversion POC -&gt; contrat cible : 60%</w:t>
      </w:r>
    </w:p>
    <w:p>
      <w:pPr>
        <w:pStyle w:val="ListParagraph"/>
        <w:numPr>
          <w:ilvl w:val="0"/>
          <w:numId w:val="2"/>
        </w:numPr>
        <w:spacing w:after="40" w:before="40"/>
      </w:pPr>
      <w:r>
        <w:rPr>
          <w:rFonts w:ascii="Arial" w:cs="Arial" w:eastAsia="Arial" w:hAnsi="Arial"/>
          <w:color w:val="333333"/>
          <w:sz w:val="22"/>
          <w:szCs w:val="22"/>
        </w:rPr>
        <w:t xml:space="preserve">Duree moyenne des contrats : 2 ans</w:t>
      </w:r>
    </w:p>
    <w:p>
      <w:pPr>
        <w:pStyle w:val="ListParagraph"/>
        <w:numPr>
          <w:ilvl w:val="0"/>
          <w:numId w:val="2"/>
        </w:numPr>
        <w:spacing w:after="40" w:before="40"/>
      </w:pPr>
      <w:r>
        <w:rPr>
          <w:rFonts w:ascii="Arial" w:cs="Arial" w:eastAsia="Arial" w:hAnsi="Arial"/>
          <w:color w:val="333333"/>
          <w:sz w:val="22"/>
          <w:szCs w:val="22"/>
        </w:rPr>
        <w:t xml:space="preserve">Churn annuel cible : &lt; 5%</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c>
          <w:tcPr>
            <w:tcW w:type="dxa" w:w="30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Arial" w:cs="Arial" w:eastAsia="Arial" w:hAnsi="Arial"/>
                <w:b/>
                <w:bCs/>
                <w:color w:val="7F77DD"/>
                <w:sz w:val="20"/>
                <w:szCs w:val="20"/>
              </w:rPr>
              <w:t xml:space="preserve">Indicateur</w:t>
            </w:r>
          </w:p>
        </w:tc>
        <w:tc>
          <w:tcPr>
            <w:tcW w:type="dxa" w:w="15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b/>
                <w:bCs/>
                <w:color w:val="7F77DD"/>
                <w:sz w:val="20"/>
                <w:szCs w:val="20"/>
              </w:rPr>
              <w:t xml:space="preserve">An 1</w:t>
            </w:r>
          </w:p>
        </w:tc>
        <w:tc>
          <w:tcPr>
            <w:tcW w:type="dxa" w:w="15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b/>
                <w:bCs/>
                <w:color w:val="7F77DD"/>
                <w:sz w:val="20"/>
                <w:szCs w:val="20"/>
              </w:rPr>
              <w:t xml:space="preserve">An 2</w:t>
            </w:r>
          </w:p>
        </w:tc>
        <w:tc>
          <w:tcPr>
            <w:tcW w:type="dxa" w:w="15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b/>
                <w:bCs/>
                <w:color w:val="7F77DD"/>
                <w:sz w:val="20"/>
                <w:szCs w:val="20"/>
              </w:rPr>
              <w:t xml:space="preserve">An 3</w:t>
            </w:r>
          </w:p>
        </w:tc>
        <w:tc>
          <w:tcPr>
            <w:tcW w:type="dxa" w:w="1500"/>
            <w:tcBorders>
              <w:top w:val="single" w:color="CCCCCC" w:sz="1"/>
              <w:left w:val="single" w:color="CCCCCC" w:sz="1"/>
              <w:bottom w:val="single" w:color="CCCCCC" w:sz="1"/>
              <w:right w:val="single" w:color="CCCCCC" w:sz="1"/>
            </w:tcBorders>
            <w:shd w:fill="EEEDfe" w:val="clear"/>
            <w:tcMar>
              <w:top w:type="dxa" w:w="80"/>
              <w:left w:type="dxa" w:w="80"/>
              <w:bottom w:type="dxa" w:w="80"/>
              <w:right w:type="dxa" w:w="80"/>
            </w:tcMar>
          </w:tcPr>
          <w:p>
            <w:pPr>
              <w:jc w:val="center"/>
            </w:pPr>
            <w:r>
              <w:rPr>
                <w:rFonts w:ascii="Arial" w:cs="Arial" w:eastAsia="Arial" w:hAnsi="Arial"/>
                <w:b/>
                <w:bCs/>
                <w:color w:val="7F77DD"/>
                <w:sz w:val="20"/>
                <w:szCs w:val="20"/>
              </w:rPr>
              <w:t xml:space="preserve">An 4</w:t>
            </w:r>
          </w:p>
        </w:tc>
      </w:tr>
      <w:tr>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Clients ISP signes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30</w:t>
            </w:r>
          </w:p>
        </w:tc>
      </w:tr>
      <w:tr>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ARR (Annual Recurring Revenue)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204 K€</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612 K€</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1.5 M€</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3.1 M€</w:t>
            </w:r>
          </w:p>
        </w:tc>
      </w:tr>
      <w:tr>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MRR moyen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17 K€</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51 K€</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126 K€</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258 K€</w:t>
            </w:r>
          </w:p>
        </w:tc>
      </w:tr>
      <w:tr>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NPS cible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&gt; 50</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&gt; 60</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&gt; 70</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&gt; 75</w:t>
            </w:r>
          </w:p>
        </w:tc>
      </w:tr>
      <w:tr>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333333"/>
                <w:sz w:val="20"/>
                <w:szCs w:val="20"/>
              </w:rPr>
              <w:t xml:space="preserve">Taux de churn annuel</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&lt; 10%</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&lt; 7%</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&lt; 5%</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color w:val="0F0F1A"/>
                <w:sz w:val="20"/>
                <w:szCs w:val="20"/>
              </w:rPr>
              <w:t xml:space="preserve">&lt; 5%</w:t>
            </w:r>
          </w:p>
        </w:tc>
      </w:tr>
    </w:tbl>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8. Positionnement Concurrentiel</w:t>
      </w:r>
    </w:p>
    <w:p>
      <w:pPr>
        <w:pStyle w:val="Heading2"/>
        <w:spacing w:after="80" w:before="240"/>
      </w:pPr>
      <w:r>
        <w:rPr>
          <w:rFonts w:ascii="Arial" w:cs="Arial" w:eastAsia="Arial" w:hAnsi="Arial"/>
          <w:color w:val="7F77DD"/>
        </w:rPr>
        <w:t xml:space="preserve">8.1 Analyse comparative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755"/>
        <w:gridCol w:w="1755"/>
        <w:gridCol w:w="1755"/>
        <w:gridCol w:w="1755"/>
      </w:tblGrid>
      <w:tr>
        <w:tc>
          <w:tcPr>
            <w:tcW w:type="dxa" w:w="200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80"/>
            </w:tcMar>
          </w:tcPr>
          <w:p>
            <w:r>
              <w:rPr>
                <w:rFonts w:ascii="Arial" w:cs="Arial" w:eastAsia="Arial" w:hAnsi="Arial"/>
                <w:b/>
                <w:bCs/>
                <w:color w:val="7F77DD"/>
                <w:sz w:val="19"/>
                <w:szCs w:val="19"/>
              </w:rPr>
              <w:t xml:space="preserve">Critere</w:t>
            </w:r>
          </w:p>
        </w:tc>
        <w:tc>
          <w:tcPr>
            <w:tcW w:type="dxa" w:w="1755"/>
            <w:tcBorders>
              <w:top w:val="single" w:color="CCCCCC" w:sz="1"/>
              <w:left w:val="single" w:color="CCCCCC" w:sz="1"/>
              <w:bottom w:val="single" w:color="CCCCCC" w:sz="1"/>
              <w:right w:val="single" w:color="CCCCCC" w:sz="1"/>
            </w:tcBorders>
            <w:shd w:fill="F4F3FE" w:val="clear"/>
            <w:tcMar>
              <w:top w:type="dxa" w:w="80"/>
              <w:left w:type="dxa" w:w="80"/>
              <w:bottom w:type="dxa" w:w="80"/>
              <w:right w:type="dxa" w:w="80"/>
            </w:tcMar>
          </w:tcPr>
          <w:p>
            <w:pPr>
              <w:jc w:val="center"/>
            </w:pPr>
            <w:r>
              <w:rPr>
                <w:rFonts w:ascii="Arial" w:cs="Arial" w:eastAsia="Arial" w:hAnsi="Arial"/>
                <w:b/>
                <w:bCs/>
                <w:color w:val="7F77DD"/>
                <w:sz w:val="18"/>
                <w:szCs w:val="18"/>
              </w:rPr>
              <w:t xml:space="preserve">StreamAnalytics Pro</w:t>
            </w:r>
          </w:p>
        </w:tc>
        <w:tc>
          <w:tcPr>
            <w:tcW w:type="dxa" w:w="1755"/>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pPr>
              <w:jc w:val="center"/>
            </w:pPr>
            <w:r>
              <w:rPr>
                <w:rFonts w:ascii="Arial" w:cs="Arial" w:eastAsia="Arial" w:hAnsi="Arial"/>
                <w:b w:val="false"/>
                <w:bCs w:val="false"/>
                <w:color w:val="6060A0"/>
                <w:sz w:val="18"/>
                <w:szCs w:val="18"/>
              </w:rPr>
              <w:t xml:space="preserve">Conviva</w:t>
            </w:r>
          </w:p>
        </w:tc>
        <w:tc>
          <w:tcPr>
            <w:tcW w:type="dxa" w:w="1755"/>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pPr>
              <w:jc w:val="center"/>
            </w:pPr>
            <w:r>
              <w:rPr>
                <w:rFonts w:ascii="Arial" w:cs="Arial" w:eastAsia="Arial" w:hAnsi="Arial"/>
                <w:b w:val="false"/>
                <w:bCs w:val="false"/>
                <w:color w:val="6060A0"/>
                <w:sz w:val="18"/>
                <w:szCs w:val="18"/>
              </w:rPr>
              <w:t xml:space="preserve">Mux Data</w:t>
            </w:r>
          </w:p>
        </w:tc>
        <w:tc>
          <w:tcPr>
            <w:tcW w:type="dxa" w:w="1755"/>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pPr>
              <w:jc w:val="center"/>
            </w:pPr>
            <w:r>
              <w:rPr>
                <w:rFonts w:ascii="Arial" w:cs="Arial" w:eastAsia="Arial" w:hAnsi="Arial"/>
                <w:b w:val="false"/>
                <w:bCs w:val="false"/>
                <w:color w:val="6060A0"/>
                <w:sz w:val="18"/>
                <w:szCs w:val="18"/>
              </w:rPr>
              <w:t xml:space="preserve">Outils internes</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AI Decision Engine</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bCs/>
                <w:color w:val="1D9E75"/>
                <w:sz w:val="18"/>
                <w:szCs w:val="18"/>
              </w:rPr>
              <w:t xml:space="preserve">✓ Natif</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Partiel</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AI Copilot (LLM)</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bCs/>
                <w:color w:val="1D9E75"/>
                <w:sz w:val="18"/>
                <w:szCs w:val="18"/>
              </w:rPr>
              <w:t xml:space="preserve">✓ Claude AI</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Analyse de logs upload</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bCs/>
                <w:color w:val="1D9E75"/>
                <w:sz w:val="18"/>
                <w:szCs w:val="18"/>
              </w:rPr>
              <w:t xml:space="preserve">✓ Oui</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Non</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Deploiement</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val="false"/>
                <w:bCs w:val="false"/>
                <w:color w:val="0F0F1A"/>
                <w:sz w:val="18"/>
                <w:szCs w:val="18"/>
              </w:rPr>
              <w:t xml:space="preserve">48 heures</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4-8 semaines</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2-4 semaines</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6-18 mois</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Prix mensuel</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val="false"/>
                <w:bCs w:val="false"/>
                <w:color w:val="0F0F1A"/>
                <w:sz w:val="18"/>
                <w:szCs w:val="18"/>
              </w:rPr>
              <w:t xml:space="preserve">Accessible</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Eleve</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Moyen</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Cout interne</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Score QoE unifie</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bCs/>
                <w:color w:val="1D9E75"/>
                <w:sz w:val="18"/>
                <w:szCs w:val="18"/>
              </w:rPr>
              <w:t xml:space="preserve">✓ 6 dimensions</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Partiel</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Partiel</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Variable</w:t>
            </w:r>
          </w:p>
        </w:tc>
      </w:tr>
      <w:tr>
        <w:tc>
          <w:tcPr>
            <w:tcW w:type="dxa" w:w="2006"/>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b/>
                <w:bCs/>
                <w:color w:val="0F0F1A"/>
                <w:sz w:val="19"/>
                <w:szCs w:val="19"/>
              </w:rPr>
              <w:t xml:space="preserve">Open API / Integ.</w:t>
            </w:r>
          </w:p>
        </w:tc>
        <w:tc>
          <w:tcPr>
            <w:tcW w:type="dxa" w:w="1755"/>
            <w:tcBorders>
              <w:top w:val="single" w:color="CCCCCC" w:sz="1"/>
              <w:left w:val="single" w:color="CCCCCC" w:sz="1"/>
              <w:bottom w:val="single" w:color="CCCCCC" w:sz="1"/>
              <w:right w:val="single" w:color="CCCCCC" w:sz="1"/>
            </w:tcBorders>
            <w:shd w:fill="F4F3FE" w:val="clear"/>
            <w:tcMar>
              <w:top w:type="dxa" w:w="60"/>
              <w:left w:type="dxa" w:w="80"/>
              <w:bottom w:type="dxa" w:w="60"/>
              <w:right w:type="dxa" w:w="80"/>
            </w:tcMar>
          </w:tcPr>
          <w:p>
            <w:pPr>
              <w:jc w:val="center"/>
            </w:pPr>
            <w:r>
              <w:rPr>
                <w:rFonts w:ascii="Arial" w:cs="Arial" w:eastAsia="Arial" w:hAnsi="Arial"/>
                <w:b/>
                <w:bCs/>
                <w:color w:val="1D9E75"/>
                <w:sz w:val="18"/>
                <w:szCs w:val="18"/>
              </w:rPr>
              <w:t xml:space="preserve">✓ REST + Kafka</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Limitee</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REST</w:t>
            </w:r>
          </w:p>
        </w:tc>
        <w:tc>
          <w:tcPr>
            <w:tcW w:type="dxa" w:w="1755"/>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val="false"/>
                <w:bCs w:val="false"/>
                <w:color w:val="6060A0"/>
                <w:sz w:val="18"/>
                <w:szCs w:val="18"/>
              </w:rPr>
              <w:t xml:space="preserve">Sur mesure</w:t>
            </w:r>
          </w:p>
        </w:tc>
      </w:tr>
    </w:tbl>
    <w:p>
      <w:pPr>
        <w:spacing w:after="120" w:before="360"/>
      </w:pPr>
      <w:r>
        <w:t xml:space="preserve"/>
      </w:r>
    </w:p>
    <w:p>
      <w:pPr>
        <w:pStyle w:val="Heading1"/>
        <w:pBdr>
          <w:bottom w:val="single" w:color="7F77DD" w:sz="6" w:space="4"/>
        </w:pBdr>
        <w:spacing w:after="120" w:before="360"/>
      </w:pPr>
      <w:r>
        <w:rPr>
          <w:rFonts w:ascii="Arial" w:cs="Arial" w:eastAsia="Arial" w:hAnsi="Arial"/>
          <w:color w:val="0F0F1A"/>
        </w:rPr>
        <w:t xml:space="preserve">9. Prochaines Etapes</w:t>
      </w:r>
    </w:p>
    <w:p>
      <w:pPr>
        <w:pStyle w:val="Heading2"/>
        <w:spacing w:after="80" w:before="240"/>
      </w:pPr>
      <w:r>
        <w:rPr>
          <w:rFonts w:ascii="Arial" w:cs="Arial" w:eastAsia="Arial" w:hAnsi="Arial"/>
          <w:color w:val="7F77DD"/>
        </w:rPr>
        <w:t xml:space="preserve">9.1 Plan d'action immediate</w:t>
      </w:r>
    </w:p>
    <w:p>
      <w:pPr>
        <w:spacing w:after="0" w:before="80"/>
      </w:pPr>
      <w:r>
        <w:t xml:space="preserve"/>
      </w:r>
    </w:p>
    <w:p>
      <w:pPr>
        <w:pStyle w:val="ListParagraph"/>
        <w:numPr>
          <w:ilvl w:val="0"/>
          <w:numId w:val="3"/>
        </w:numPr>
        <w:spacing w:after="60" w:before="60"/>
      </w:pPr>
      <w:r>
        <w:rPr>
          <w:rFonts w:ascii="Arial" w:cs="Arial" w:eastAsia="Arial" w:hAnsi="Arial"/>
          <w:color w:val="333333"/>
          <w:sz w:val="22"/>
          <w:szCs w:val="22"/>
        </w:rPr>
        <w:t xml:space="preserve">Demo live de 30 minutes sur votre infrastructure — sans installation, sans engagement</w:t>
      </w:r>
    </w:p>
    <w:p>
      <w:pPr>
        <w:pStyle w:val="ListParagraph"/>
        <w:numPr>
          <w:ilvl w:val="0"/>
          <w:numId w:val="3"/>
        </w:numPr>
        <w:spacing w:after="60" w:before="60"/>
      </w:pPr>
      <w:r>
        <w:rPr>
          <w:rFonts w:ascii="Arial" w:cs="Arial" w:eastAsia="Arial" w:hAnsi="Arial"/>
          <w:color w:val="333333"/>
          <w:sz w:val="22"/>
          <w:szCs w:val="22"/>
        </w:rPr>
        <w:t xml:space="preserve">POC gratuit 14 jours — connexion a vos flux reels, mesure du QoE sur vos abonnes</w:t>
      </w:r>
    </w:p>
    <w:p>
      <w:pPr>
        <w:pStyle w:val="ListParagraph"/>
        <w:numPr>
          <w:ilvl w:val="0"/>
          <w:numId w:val="3"/>
        </w:numPr>
        <w:spacing w:after="60" w:before="60"/>
      </w:pPr>
      <w:r>
        <w:rPr>
          <w:rFonts w:ascii="Arial" w:cs="Arial" w:eastAsia="Arial" w:hAnsi="Arial"/>
          <w:color w:val="333333"/>
          <w:sz w:val="22"/>
          <w:szCs w:val="22"/>
        </w:rPr>
        <w:t xml:space="preserve">Rapport de resultats — comparaison avant/apres, calcul ROI personnalise</w:t>
      </w:r>
    </w:p>
    <w:p>
      <w:pPr>
        <w:pStyle w:val="ListParagraph"/>
        <w:numPr>
          <w:ilvl w:val="0"/>
          <w:numId w:val="3"/>
        </w:numPr>
        <w:spacing w:after="60" w:before="60"/>
      </w:pPr>
      <w:r>
        <w:rPr>
          <w:rFonts w:ascii="Arial" w:cs="Arial" w:eastAsia="Arial" w:hAnsi="Arial"/>
          <w:color w:val="333333"/>
          <w:sz w:val="22"/>
          <w:szCs w:val="22"/>
        </w:rPr>
        <w:t xml:space="preserve">Proposition commerciale tailored — tarif, SLA, modalites d'integration</w:t>
      </w:r>
    </w:p>
    <w:p>
      <w:pPr>
        <w:pStyle w:val="ListParagraph"/>
        <w:numPr>
          <w:ilvl w:val="0"/>
          <w:numId w:val="3"/>
        </w:numPr>
        <w:spacing w:after="60" w:before="60"/>
      </w:pPr>
      <w:r>
        <w:rPr>
          <w:rFonts w:ascii="Arial" w:cs="Arial" w:eastAsia="Arial" w:hAnsi="Arial"/>
          <w:color w:val="333333"/>
          <w:sz w:val="22"/>
          <w:szCs w:val="22"/>
        </w:rPr>
        <w:t xml:space="preserve">Deploiement en 48 heures — go-live, formation NOC, support dedie</w:t>
      </w:r>
    </w:p>
    <w:p>
      <w:pPr>
        <w:spacing w:after="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7F77DD"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Pret a voir StreamAnalytics Pro en action ?</w:t>
            </w:r>
          </w:p>
          <w:p>
            <w:pPr>
              <w:spacing w:after="0" w:before="80"/>
            </w:pPr>
            <w:r>
              <w:t xml:space="preserve"/>
            </w:r>
          </w:p>
          <w:p>
            <w:pPr>
              <w:jc w:val="center"/>
            </w:pPr>
            <w:r>
              <w:rPr>
                <w:rFonts w:ascii="Arial" w:cs="Arial" w:eastAsia="Arial" w:hAnsi="Arial"/>
                <w:color w:val="E0E0FF"/>
                <w:sz w:val="22"/>
                <w:szCs w:val="22"/>
              </w:rPr>
              <w:t xml:space="preserve">contact@streamanalytics.pro   |   streamanalytics.pro</w:t>
            </w:r>
          </w:p>
          <w:p>
            <w:pPr>
              <w:spacing w:after="0" w:before="60"/>
            </w:pPr>
            <w:r>
              <w:t xml:space="preserve"/>
            </w:r>
          </w:p>
          <w:p>
            <w:pPr>
              <w:jc w:val="center"/>
            </w:pPr>
            <w:r>
              <w:rPr>
                <w:rFonts w:ascii="Arial" w:cs="Arial" w:eastAsia="Arial" w:hAnsi="Arial"/>
                <w:i/>
                <w:iCs/>
                <w:color w:val="B0B0EE"/>
                <w:sz w:val="20"/>
                <w:szCs w:val="20"/>
              </w:rPr>
              <w:t xml:space="preserve">Demo gratuite en 48h — POC 14 jours sans engagement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77DD" w:sz="4" w:space="4"/>
      </w:pBdr>
      <w:spacing w:before="0"/>
    </w:pPr>
    <w:r>
      <w:rPr>
        <w:rFonts w:ascii="Arial" w:cs="Arial" w:eastAsia="Arial" w:hAnsi="Arial"/>
        <w:color w:val="6060A0"/>
        <w:sz w:val="16"/>
        <w:szCs w:val="16"/>
      </w:rPr>
      <w:t xml:space="preserve">Confidentiel — StreamAnalytics Pro © 2025   |   contact@streamanalytics.pro</w:t>
    </w:r>
    <w:r>
      <w:rPr>
        <w:rFonts w:ascii="Arial" w:cs="Arial" w:eastAsia="Arial" w:hAnsi="Arial"/>
        <w:color w:val="6060A0"/>
        <w:sz w:val="16"/>
        <w:szCs w:val="16"/>
      </w:rPr>
      <w:t xml:space="preserve">   Page </w:t>
    </w:r>
    <w:r>
      <w:rPr>
        <w:rFonts w:ascii="Arial" w:cs="Arial" w:eastAsia="Arial" w:hAnsi="Arial"/>
        <w:color w:val="6060A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7DD" w:sz="4" w:space="4"/>
      </w:pBdr>
      <w:spacing w:after="0"/>
    </w:pPr>
    <w:r>
      <w:rPr>
        <w:rFonts w:ascii="Arial" w:cs="Arial" w:eastAsia="Arial" w:hAnsi="Arial"/>
        <w:b/>
        <w:bCs/>
        <w:color w:val="7F77DD"/>
        <w:sz w:val="18"/>
        <w:szCs w:val="18"/>
      </w:rPr>
      <w:t xml:space="preserve">StreamAnalytics Pro</w:t>
    </w:r>
    <w:r>
      <w:rPr>
        <w:rFonts w:ascii="Arial" w:cs="Arial" w:eastAsia="Arial" w:hAnsi="Arial"/>
        <w:color w:val="6060A0"/>
        <w:sz w:val="18"/>
        <w:szCs w:val="18"/>
      </w:rPr>
      <w:t xml:space="preserve">   |   Business Plan ISP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0F1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7F77DD"/>
      <w:sz w:val="28"/>
      <w:szCs w:val="28"/>
    </w:rPr>
  </w:style>
  <w:style w:type="paragraph" w:styleId="Heading3">
    <w:name w:val="Heading 3"/>
    <w:basedOn w:val="Normal"/>
    <w:next w:val="Normal"/>
    <w:qFormat/>
    <w:pPr>
      <w:spacing w:after="60" w:before="160"/>
      <w:outlineLvl w:val="2"/>
    </w:pPr>
    <w:rPr>
      <w:rFonts w:ascii="Arial" w:cs="Arial" w:eastAsia="Arial" w:hAnsi="Arial"/>
      <w:b/>
      <w:bCs/>
      <w:color w:val="0F0F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2026-06-11T21:32:34.204Z</dcterms:created>
  <dcterms:modified xsi:type="dcterms:W3CDTF">2026-06-11T21:32:34.204Z</dcterms:modified>
</cp:coreProperties>
</file>

<file path=docProps/custom.xml><?xml version="1.0" encoding="utf-8"?>
<Properties xmlns="http://schemas.openxmlformats.org/officeDocument/2006/custom-properties" xmlns:vt="http://schemas.openxmlformats.org/officeDocument/2006/docPropsVTypes"/>
</file>