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4C9B2" w14:textId="0C6C881A" w:rsidR="007063C8" w:rsidRDefault="003572DE" w:rsidP="003572DE">
      <w:pPr>
        <w:pStyle w:val="1"/>
        <w:ind w:firstLine="720"/>
      </w:pPr>
      <w:r w:rsidRPr="003572DE">
        <w:rPr>
          <w:rFonts w:hint="eastAsia"/>
        </w:rPr>
        <w:t>轨道交通供电设备状态评估</w:t>
      </w:r>
      <w:bookmarkStart w:id="0" w:name="_GoBack"/>
      <w:bookmarkEnd w:id="0"/>
    </w:p>
    <w:p w14:paraId="51C452F6" w14:textId="713476D2" w:rsidR="00223F73" w:rsidRDefault="00223F73" w:rsidP="003572DE">
      <w:pPr>
        <w:ind w:firstLine="643"/>
        <w:rPr>
          <w:b/>
          <w:bCs/>
        </w:rPr>
      </w:pPr>
      <w:r w:rsidRPr="00F80505">
        <w:rPr>
          <w:rFonts w:hint="eastAsia"/>
          <w:b/>
          <w:bCs/>
        </w:rPr>
        <w:t>一、</w:t>
      </w:r>
      <w:r w:rsidR="002815B6">
        <w:rPr>
          <w:rFonts w:hint="eastAsia"/>
          <w:b/>
          <w:bCs/>
        </w:rPr>
        <w:t>系统登录模块</w:t>
      </w:r>
    </w:p>
    <w:p w14:paraId="04BF3946" w14:textId="5F20091B" w:rsidR="004C3AE0" w:rsidRPr="00775204" w:rsidRDefault="00775204" w:rsidP="003572DE">
      <w:pPr>
        <w:ind w:firstLine="640"/>
        <w:rPr>
          <w:rFonts w:hint="eastAsia"/>
          <w:bCs/>
        </w:rPr>
      </w:pPr>
      <w:r w:rsidRPr="00775204">
        <w:rPr>
          <w:rFonts w:hint="eastAsia"/>
          <w:bCs/>
        </w:rPr>
        <w:t>包括管理员登录和用户登录</w:t>
      </w:r>
      <w:r>
        <w:rPr>
          <w:rFonts w:hint="eastAsia"/>
          <w:bCs/>
        </w:rPr>
        <w:t>。</w:t>
      </w:r>
    </w:p>
    <w:p w14:paraId="1BCD51E2" w14:textId="7A5B5EAB" w:rsidR="002815B6" w:rsidRDefault="002815B6" w:rsidP="003572DE">
      <w:pPr>
        <w:ind w:firstLine="643"/>
        <w:rPr>
          <w:b/>
          <w:bCs/>
        </w:rPr>
      </w:pPr>
      <w:r>
        <w:rPr>
          <w:rFonts w:hint="eastAsia"/>
          <w:b/>
          <w:bCs/>
        </w:rPr>
        <w:t>二、供电设备管理模块</w:t>
      </w:r>
    </w:p>
    <w:p w14:paraId="4B060AB5" w14:textId="3D4EF4AE" w:rsidR="00280287" w:rsidRDefault="00280287" w:rsidP="004C3AE0">
      <w:pPr>
        <w:ind w:firstLine="640"/>
        <w:rPr>
          <w:rFonts w:hint="eastAsia"/>
        </w:rPr>
      </w:pPr>
      <w:r>
        <w:rPr>
          <w:rFonts w:hint="eastAsia"/>
        </w:rPr>
        <w:t>可对以下各系统各设备进行数据导入和查看。</w:t>
      </w:r>
    </w:p>
    <w:p w14:paraId="797B3E99" w14:textId="19221180" w:rsidR="002815B6" w:rsidRPr="00012D29" w:rsidRDefault="004C3AE0" w:rsidP="004C3AE0">
      <w:pPr>
        <w:ind w:firstLine="640"/>
      </w:pPr>
      <w:r w:rsidRPr="00012D29">
        <w:rPr>
          <w:rFonts w:hint="eastAsia"/>
        </w:rPr>
        <w:t>主变电所</w:t>
      </w:r>
      <w:r w:rsidR="002815B6" w:rsidRPr="00012D29">
        <w:rPr>
          <w:rFonts w:hint="eastAsia"/>
        </w:rPr>
        <w:t>：</w:t>
      </w:r>
      <w:r w:rsidRPr="00012D29">
        <w:rPr>
          <w:rFonts w:hint="eastAsia"/>
        </w:rPr>
        <w:t>开关设备、母线、各类变压器、电抗器、互感器、电容器、隔离开关、交直流电源、各类电缆及光缆、保护装置、变电所综合自动化、避雷装置、无功补偿系统</w:t>
      </w:r>
      <w:r w:rsidR="00A00277" w:rsidRPr="00012D29">
        <w:rPr>
          <w:rFonts w:hint="eastAsia"/>
        </w:rPr>
        <w:t>等。</w:t>
      </w:r>
    </w:p>
    <w:p w14:paraId="6208928E" w14:textId="040C0F0A" w:rsidR="002815B6" w:rsidRPr="00012D29" w:rsidRDefault="002815B6" w:rsidP="004C3AE0">
      <w:pPr>
        <w:ind w:firstLine="640"/>
      </w:pPr>
      <w:r w:rsidRPr="00012D29">
        <w:rPr>
          <w:rFonts w:hint="eastAsia"/>
        </w:rPr>
        <w:t>子</w:t>
      </w:r>
      <w:r w:rsidR="004C3AE0" w:rsidRPr="00012D29">
        <w:rPr>
          <w:rFonts w:hint="eastAsia"/>
        </w:rPr>
        <w:t>变电</w:t>
      </w:r>
      <w:r w:rsidRPr="00012D29">
        <w:rPr>
          <w:rFonts w:hint="eastAsia"/>
        </w:rPr>
        <w:t>所：</w:t>
      </w:r>
      <w:r w:rsidR="004C3AE0" w:rsidRPr="00012D29">
        <w:rPr>
          <w:rFonts w:hint="eastAsia"/>
        </w:rPr>
        <w:t>开关设备、变压器、</w:t>
      </w:r>
      <w:r w:rsidR="004C3AE0" w:rsidRPr="00012D29">
        <w:rPr>
          <w:rFonts w:hint="eastAsia"/>
        </w:rPr>
        <w:t>OVPD</w:t>
      </w:r>
      <w:r w:rsidR="004C3AE0" w:rsidRPr="00012D29">
        <w:rPr>
          <w:rFonts w:hint="eastAsia"/>
        </w:rPr>
        <w:t>、负极柜、整流器柜、交直流电源、各类电缆及光缆、回流装置、变电所综合自动化、保护装置及二次回路等。</w:t>
      </w:r>
    </w:p>
    <w:p w14:paraId="5DA9AD9A" w14:textId="4103FD93" w:rsidR="007C7958" w:rsidRPr="00012D29" w:rsidRDefault="007C7958" w:rsidP="007C7958">
      <w:pPr>
        <w:ind w:firstLine="640"/>
        <w:rPr>
          <w:rFonts w:hint="eastAsia"/>
        </w:rPr>
      </w:pPr>
      <w:r w:rsidRPr="00012D29">
        <w:rPr>
          <w:rFonts w:hint="eastAsia"/>
        </w:rPr>
        <w:t>接触网（刚性、柔性）系统：</w:t>
      </w:r>
      <w:r w:rsidRPr="00012D29">
        <w:rPr>
          <w:rFonts w:hint="eastAsia"/>
        </w:rPr>
        <w:t>汇流排、接触线、承力索、架空地线、支柱、软横跨、上网隔离开关</w:t>
      </w:r>
      <w:r w:rsidR="002F0FD4" w:rsidRPr="00012D29">
        <w:rPr>
          <w:rFonts w:hint="eastAsia"/>
        </w:rPr>
        <w:t>等。</w:t>
      </w:r>
    </w:p>
    <w:p w14:paraId="124D269B" w14:textId="3054DA44" w:rsidR="002815B6" w:rsidRPr="00012D29" w:rsidRDefault="002815B6" w:rsidP="002815B6">
      <w:pPr>
        <w:ind w:firstLine="640"/>
      </w:pPr>
      <w:r w:rsidRPr="00012D29">
        <w:rPr>
          <w:rFonts w:hint="eastAsia"/>
        </w:rPr>
        <w:t>动力照明系统</w:t>
      </w:r>
      <w:r w:rsidR="001D5764" w:rsidRPr="00012D29">
        <w:rPr>
          <w:rFonts w:hint="eastAsia"/>
        </w:rPr>
        <w:t>：</w:t>
      </w:r>
      <w:r w:rsidR="001D5764" w:rsidRPr="00012D29">
        <w:t>…..</w:t>
      </w:r>
    </w:p>
    <w:p w14:paraId="4E75D36B" w14:textId="37A4E573" w:rsidR="002815B6" w:rsidRPr="00012D29" w:rsidRDefault="002815B6" w:rsidP="002815B6">
      <w:pPr>
        <w:ind w:firstLine="640"/>
      </w:pPr>
      <w:r w:rsidRPr="00012D29">
        <w:rPr>
          <w:rFonts w:hint="eastAsia"/>
        </w:rPr>
        <w:t>杂散电流防护系统</w:t>
      </w:r>
      <w:r w:rsidR="001D5764" w:rsidRPr="00012D29">
        <w:rPr>
          <w:rFonts w:hint="eastAsia"/>
        </w:rPr>
        <w:t>：</w:t>
      </w:r>
      <w:r w:rsidR="001D5764" w:rsidRPr="00012D29">
        <w:t>……</w:t>
      </w:r>
    </w:p>
    <w:p w14:paraId="0B9316D8" w14:textId="1FAB0EDE" w:rsidR="002815B6" w:rsidRPr="00012D29" w:rsidRDefault="002815B6" w:rsidP="002815B6">
      <w:pPr>
        <w:ind w:firstLine="640"/>
      </w:pPr>
      <w:r w:rsidRPr="00012D29">
        <w:rPr>
          <w:rFonts w:hint="eastAsia"/>
        </w:rPr>
        <w:t>电力监控系统</w:t>
      </w:r>
      <w:r w:rsidR="001D5764" w:rsidRPr="00012D29">
        <w:rPr>
          <w:rFonts w:hint="eastAsia"/>
        </w:rPr>
        <w:t>：</w:t>
      </w:r>
      <w:r w:rsidR="001D5764" w:rsidRPr="00012D29">
        <w:t>……</w:t>
      </w:r>
    </w:p>
    <w:p w14:paraId="0267B3BF" w14:textId="3C5D1750" w:rsidR="002815B6" w:rsidRDefault="002815B6" w:rsidP="002815B6">
      <w:pPr>
        <w:ind w:firstLine="643"/>
        <w:rPr>
          <w:b/>
          <w:bCs/>
        </w:rPr>
      </w:pPr>
      <w:r w:rsidRPr="002815B6"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>、设备状态评估模块</w:t>
      </w:r>
    </w:p>
    <w:p w14:paraId="6CE2A761" w14:textId="2F0FD2E0" w:rsidR="002815B6" w:rsidRDefault="002815B6" w:rsidP="002815B6">
      <w:pPr>
        <w:ind w:firstLine="640"/>
      </w:pPr>
      <w:r>
        <w:rPr>
          <w:rFonts w:hint="eastAsia"/>
        </w:rPr>
        <w:t xml:space="preserve">1 </w:t>
      </w:r>
      <w:r>
        <w:rPr>
          <w:rFonts w:hint="eastAsia"/>
        </w:rPr>
        <w:t>指标体系选择</w:t>
      </w:r>
    </w:p>
    <w:p w14:paraId="0D19B332" w14:textId="614D0416" w:rsidR="006C5885" w:rsidRDefault="006C5885" w:rsidP="002815B6">
      <w:pPr>
        <w:ind w:firstLine="640"/>
        <w:rPr>
          <w:rFonts w:hint="eastAsia"/>
        </w:rPr>
      </w:pPr>
      <w:r>
        <w:rPr>
          <w:rFonts w:hint="eastAsia"/>
        </w:rPr>
        <w:t>可自由选择表中因素组成指标体系。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3118"/>
        <w:gridCol w:w="1468"/>
      </w:tblGrid>
      <w:tr w:rsidR="006C5885" w14:paraId="3A0B61FC" w14:textId="77777777" w:rsidTr="004C0DF4">
        <w:trPr>
          <w:jc w:val="center"/>
        </w:trPr>
        <w:tc>
          <w:tcPr>
            <w:tcW w:w="4248" w:type="dxa"/>
            <w:gridSpan w:val="2"/>
            <w:vAlign w:val="center"/>
          </w:tcPr>
          <w:p w14:paraId="25F3AD29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影响因素</w:t>
            </w:r>
          </w:p>
        </w:tc>
        <w:tc>
          <w:tcPr>
            <w:tcW w:w="3118" w:type="dxa"/>
            <w:vAlign w:val="center"/>
          </w:tcPr>
          <w:p w14:paraId="1046B93E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468" w:type="dxa"/>
            <w:vAlign w:val="center"/>
          </w:tcPr>
          <w:p w14:paraId="043D2D9C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分值</w:t>
            </w:r>
          </w:p>
        </w:tc>
      </w:tr>
      <w:tr w:rsidR="006C5885" w14:paraId="08B55ABF" w14:textId="77777777" w:rsidTr="004C0DF4">
        <w:trPr>
          <w:trHeight w:val="523"/>
          <w:jc w:val="center"/>
        </w:trPr>
        <w:tc>
          <w:tcPr>
            <w:tcW w:w="4248" w:type="dxa"/>
            <w:gridSpan w:val="2"/>
            <w:vMerge w:val="restart"/>
            <w:vAlign w:val="center"/>
          </w:tcPr>
          <w:p w14:paraId="61BACFBF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超出规定服役年限</w:t>
            </w:r>
          </w:p>
        </w:tc>
        <w:tc>
          <w:tcPr>
            <w:tcW w:w="3118" w:type="dxa"/>
            <w:vAlign w:val="center"/>
          </w:tcPr>
          <w:p w14:paraId="56C0AC00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[0,3)</w:t>
            </w:r>
          </w:p>
        </w:tc>
        <w:tc>
          <w:tcPr>
            <w:tcW w:w="1468" w:type="dxa"/>
            <w:vAlign w:val="center"/>
          </w:tcPr>
          <w:p w14:paraId="38935F22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100</w:t>
            </w:r>
          </w:p>
        </w:tc>
      </w:tr>
      <w:tr w:rsidR="006C5885" w14:paraId="7176B985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3066F820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7949B9F0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[3,5)</w:t>
            </w:r>
          </w:p>
        </w:tc>
        <w:tc>
          <w:tcPr>
            <w:tcW w:w="1468" w:type="dxa"/>
            <w:vAlign w:val="center"/>
          </w:tcPr>
          <w:p w14:paraId="1C6F35FC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80</w:t>
            </w:r>
          </w:p>
        </w:tc>
      </w:tr>
      <w:tr w:rsidR="006C5885" w14:paraId="7B2B7CA0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72B80D43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19E1BD8D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年以上</w:t>
            </w:r>
          </w:p>
        </w:tc>
        <w:tc>
          <w:tcPr>
            <w:tcW w:w="1468" w:type="dxa"/>
            <w:vAlign w:val="center"/>
          </w:tcPr>
          <w:p w14:paraId="04318798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60</w:t>
            </w:r>
          </w:p>
        </w:tc>
      </w:tr>
      <w:tr w:rsidR="006C5885" w14:paraId="3D27B143" w14:textId="77777777" w:rsidTr="004C0DF4">
        <w:trPr>
          <w:trHeight w:val="522"/>
          <w:jc w:val="center"/>
        </w:trPr>
        <w:tc>
          <w:tcPr>
            <w:tcW w:w="4248" w:type="dxa"/>
            <w:gridSpan w:val="2"/>
            <w:vMerge w:val="restart"/>
            <w:vAlign w:val="center"/>
          </w:tcPr>
          <w:p w14:paraId="4E58FEFC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对行车安全性的影响</w:t>
            </w:r>
          </w:p>
        </w:tc>
        <w:tc>
          <w:tcPr>
            <w:tcW w:w="3118" w:type="dxa"/>
            <w:vAlign w:val="center"/>
          </w:tcPr>
          <w:p w14:paraId="473AE2F0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无影响</w:t>
            </w:r>
          </w:p>
        </w:tc>
        <w:tc>
          <w:tcPr>
            <w:tcW w:w="1468" w:type="dxa"/>
            <w:vAlign w:val="center"/>
          </w:tcPr>
          <w:p w14:paraId="3920DF6A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100</w:t>
            </w:r>
          </w:p>
        </w:tc>
      </w:tr>
      <w:tr w:rsidR="006C5885" w14:paraId="1D462BFD" w14:textId="77777777" w:rsidTr="004C0DF4">
        <w:trPr>
          <w:trHeight w:val="519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36C82351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36FFBB4F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一般影响</w:t>
            </w:r>
          </w:p>
        </w:tc>
        <w:tc>
          <w:tcPr>
            <w:tcW w:w="1468" w:type="dxa"/>
            <w:vAlign w:val="center"/>
          </w:tcPr>
          <w:p w14:paraId="0BC19A39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80</w:t>
            </w:r>
          </w:p>
        </w:tc>
      </w:tr>
      <w:tr w:rsidR="006C5885" w14:paraId="56357167" w14:textId="77777777" w:rsidTr="004C0DF4">
        <w:trPr>
          <w:trHeight w:val="519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281253FD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622CEAE6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较大影响</w:t>
            </w:r>
          </w:p>
        </w:tc>
        <w:tc>
          <w:tcPr>
            <w:tcW w:w="1468" w:type="dxa"/>
            <w:vAlign w:val="center"/>
          </w:tcPr>
          <w:p w14:paraId="703C5929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60</w:t>
            </w:r>
          </w:p>
        </w:tc>
      </w:tr>
      <w:tr w:rsidR="006C5885" w14:paraId="3027C582" w14:textId="77777777" w:rsidTr="004C0DF4">
        <w:trPr>
          <w:trHeight w:val="519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5B4C71D4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1EB7C40F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严重影响</w:t>
            </w:r>
          </w:p>
        </w:tc>
        <w:tc>
          <w:tcPr>
            <w:tcW w:w="1468" w:type="dxa"/>
            <w:vAlign w:val="center"/>
          </w:tcPr>
          <w:p w14:paraId="0AE93876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40</w:t>
            </w:r>
          </w:p>
        </w:tc>
      </w:tr>
      <w:tr w:rsidR="006C5885" w14:paraId="4408D5D2" w14:textId="77777777" w:rsidTr="004C0DF4">
        <w:trPr>
          <w:trHeight w:val="263"/>
          <w:jc w:val="center"/>
        </w:trPr>
        <w:tc>
          <w:tcPr>
            <w:tcW w:w="1838" w:type="dxa"/>
            <w:vMerge w:val="restart"/>
            <w:vAlign w:val="center"/>
          </w:tcPr>
          <w:p w14:paraId="00D0E060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可靠性指标</w:t>
            </w:r>
          </w:p>
        </w:tc>
        <w:tc>
          <w:tcPr>
            <w:tcW w:w="2410" w:type="dxa"/>
            <w:vAlign w:val="center"/>
          </w:tcPr>
          <w:p w14:paraId="683C75AD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故障率</w:t>
            </w:r>
          </w:p>
        </w:tc>
        <w:tc>
          <w:tcPr>
            <w:tcW w:w="3118" w:type="dxa"/>
            <w:vAlign w:val="center"/>
          </w:tcPr>
          <w:p w14:paraId="727B4D88" w14:textId="77777777" w:rsidR="006C5885" w:rsidRDefault="006C5885" w:rsidP="004C0DF4">
            <w:pPr>
              <w:pStyle w:val="af2"/>
              <w:jc w:val="both"/>
            </w:pPr>
          </w:p>
        </w:tc>
        <w:tc>
          <w:tcPr>
            <w:tcW w:w="1468" w:type="dxa"/>
            <w:vAlign w:val="center"/>
          </w:tcPr>
          <w:p w14:paraId="7F5A3DFB" w14:textId="77777777" w:rsidR="006C5885" w:rsidRDefault="006C5885" w:rsidP="004C0DF4">
            <w:pPr>
              <w:pStyle w:val="af2"/>
            </w:pPr>
          </w:p>
        </w:tc>
      </w:tr>
      <w:tr w:rsidR="006C5885" w14:paraId="0E6100C2" w14:textId="77777777" w:rsidTr="004C0DF4">
        <w:trPr>
          <w:trHeight w:val="263"/>
          <w:jc w:val="center"/>
        </w:trPr>
        <w:tc>
          <w:tcPr>
            <w:tcW w:w="1838" w:type="dxa"/>
            <w:vMerge/>
            <w:vAlign w:val="center"/>
          </w:tcPr>
          <w:p w14:paraId="21FFBB13" w14:textId="77777777" w:rsidR="006C5885" w:rsidRDefault="006C5885" w:rsidP="004C0DF4">
            <w:pPr>
              <w:pStyle w:val="af2"/>
            </w:pPr>
          </w:p>
        </w:tc>
        <w:tc>
          <w:tcPr>
            <w:tcW w:w="2410" w:type="dxa"/>
            <w:vAlign w:val="center"/>
          </w:tcPr>
          <w:p w14:paraId="6AB87CF3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无故障间隔时间</w:t>
            </w:r>
          </w:p>
        </w:tc>
        <w:tc>
          <w:tcPr>
            <w:tcW w:w="3118" w:type="dxa"/>
            <w:vAlign w:val="center"/>
          </w:tcPr>
          <w:p w14:paraId="429E6732" w14:textId="77777777" w:rsidR="006C5885" w:rsidRDefault="006C5885" w:rsidP="004C0DF4">
            <w:pPr>
              <w:pStyle w:val="af2"/>
              <w:jc w:val="both"/>
            </w:pPr>
          </w:p>
        </w:tc>
        <w:tc>
          <w:tcPr>
            <w:tcW w:w="1468" w:type="dxa"/>
            <w:vAlign w:val="center"/>
          </w:tcPr>
          <w:p w14:paraId="51E9B8BD" w14:textId="77777777" w:rsidR="006C5885" w:rsidRDefault="006C5885" w:rsidP="004C0DF4">
            <w:pPr>
              <w:pStyle w:val="af2"/>
            </w:pPr>
          </w:p>
        </w:tc>
      </w:tr>
      <w:tr w:rsidR="006C5885" w14:paraId="6AEE6ABF" w14:textId="77777777" w:rsidTr="004C0DF4">
        <w:trPr>
          <w:trHeight w:val="523"/>
          <w:jc w:val="center"/>
        </w:trPr>
        <w:tc>
          <w:tcPr>
            <w:tcW w:w="4248" w:type="dxa"/>
            <w:gridSpan w:val="2"/>
            <w:vMerge w:val="restart"/>
            <w:vAlign w:val="center"/>
          </w:tcPr>
          <w:p w14:paraId="3A66BAA4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备品备件供应</w:t>
            </w:r>
          </w:p>
        </w:tc>
        <w:tc>
          <w:tcPr>
            <w:tcW w:w="3118" w:type="dxa"/>
            <w:vAlign w:val="center"/>
          </w:tcPr>
          <w:p w14:paraId="1212E6D8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满足</w:t>
            </w:r>
          </w:p>
        </w:tc>
        <w:tc>
          <w:tcPr>
            <w:tcW w:w="1468" w:type="dxa"/>
            <w:vAlign w:val="center"/>
          </w:tcPr>
          <w:p w14:paraId="7A2EA7F5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100</w:t>
            </w:r>
          </w:p>
        </w:tc>
      </w:tr>
      <w:tr w:rsidR="006C5885" w14:paraId="14C87121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57820E42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3369D0F8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基本满足</w:t>
            </w:r>
          </w:p>
        </w:tc>
        <w:tc>
          <w:tcPr>
            <w:tcW w:w="1468" w:type="dxa"/>
            <w:vAlign w:val="center"/>
          </w:tcPr>
          <w:p w14:paraId="7D828F82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80</w:t>
            </w:r>
          </w:p>
        </w:tc>
      </w:tr>
      <w:tr w:rsidR="006C5885" w14:paraId="030F51FE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68A8BF0D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2CB63B2D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无备件供应</w:t>
            </w:r>
          </w:p>
        </w:tc>
        <w:tc>
          <w:tcPr>
            <w:tcW w:w="1468" w:type="dxa"/>
            <w:vAlign w:val="center"/>
          </w:tcPr>
          <w:p w14:paraId="660904F0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60</w:t>
            </w:r>
          </w:p>
        </w:tc>
      </w:tr>
      <w:tr w:rsidR="006C5885" w14:paraId="0F185D6B" w14:textId="77777777" w:rsidTr="004C0DF4">
        <w:trPr>
          <w:trHeight w:val="523"/>
          <w:jc w:val="center"/>
        </w:trPr>
        <w:tc>
          <w:tcPr>
            <w:tcW w:w="4248" w:type="dxa"/>
            <w:gridSpan w:val="2"/>
            <w:vMerge w:val="restart"/>
            <w:vAlign w:val="center"/>
          </w:tcPr>
          <w:p w14:paraId="7DC938D7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设备功能完备性</w:t>
            </w:r>
          </w:p>
        </w:tc>
        <w:tc>
          <w:tcPr>
            <w:tcW w:w="3118" w:type="dxa"/>
            <w:vAlign w:val="center"/>
          </w:tcPr>
          <w:p w14:paraId="2B967975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符合技术标准</w:t>
            </w:r>
          </w:p>
        </w:tc>
        <w:tc>
          <w:tcPr>
            <w:tcW w:w="1468" w:type="dxa"/>
            <w:vAlign w:val="center"/>
          </w:tcPr>
          <w:p w14:paraId="46BE56E5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100</w:t>
            </w:r>
          </w:p>
        </w:tc>
      </w:tr>
      <w:tr w:rsidR="006C5885" w14:paraId="2721E01D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34C49DA0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75DFCF19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一般符合</w:t>
            </w:r>
          </w:p>
        </w:tc>
        <w:tc>
          <w:tcPr>
            <w:tcW w:w="1468" w:type="dxa"/>
            <w:vAlign w:val="center"/>
          </w:tcPr>
          <w:p w14:paraId="2618F954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80</w:t>
            </w:r>
          </w:p>
        </w:tc>
      </w:tr>
      <w:tr w:rsidR="006C5885" w14:paraId="472D4729" w14:textId="77777777" w:rsidTr="004C0DF4">
        <w:trPr>
          <w:trHeight w:val="521"/>
          <w:jc w:val="center"/>
        </w:trPr>
        <w:tc>
          <w:tcPr>
            <w:tcW w:w="4248" w:type="dxa"/>
            <w:gridSpan w:val="2"/>
            <w:vMerge/>
            <w:vAlign w:val="center"/>
          </w:tcPr>
          <w:p w14:paraId="599F6EC8" w14:textId="77777777" w:rsidR="006C5885" w:rsidRDefault="006C5885" w:rsidP="004C0DF4">
            <w:pPr>
              <w:pStyle w:val="af2"/>
            </w:pPr>
          </w:p>
        </w:tc>
        <w:tc>
          <w:tcPr>
            <w:tcW w:w="3118" w:type="dxa"/>
            <w:vAlign w:val="center"/>
          </w:tcPr>
          <w:p w14:paraId="5469DBFA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不符合</w:t>
            </w:r>
          </w:p>
        </w:tc>
        <w:tc>
          <w:tcPr>
            <w:tcW w:w="1468" w:type="dxa"/>
            <w:vAlign w:val="center"/>
          </w:tcPr>
          <w:p w14:paraId="7C28E02E" w14:textId="77777777" w:rsidR="006C5885" w:rsidRDefault="006C5885" w:rsidP="004C0DF4">
            <w:pPr>
              <w:pStyle w:val="af2"/>
            </w:pPr>
            <w:r>
              <w:rPr>
                <w:rFonts w:hint="eastAsia"/>
              </w:rPr>
              <w:t>60</w:t>
            </w:r>
          </w:p>
        </w:tc>
      </w:tr>
    </w:tbl>
    <w:p w14:paraId="4D6A2D1D" w14:textId="1DFD0F21" w:rsidR="002815B6" w:rsidRDefault="002815B6" w:rsidP="002815B6">
      <w:pPr>
        <w:ind w:firstLine="640"/>
      </w:pPr>
      <w:r>
        <w:rPr>
          <w:rFonts w:hint="eastAsia"/>
        </w:rPr>
        <w:t xml:space="preserve">2 </w:t>
      </w:r>
      <w:r>
        <w:rPr>
          <w:rFonts w:hint="eastAsia"/>
        </w:rPr>
        <w:t>指标权重计算</w:t>
      </w:r>
    </w:p>
    <w:p w14:paraId="103A2043" w14:textId="7FA12BED" w:rsidR="00706FF0" w:rsidRDefault="00706FF0" w:rsidP="002815B6">
      <w:pPr>
        <w:ind w:firstLine="640"/>
        <w:rPr>
          <w:rFonts w:hint="eastAsia"/>
        </w:rPr>
      </w:pPr>
      <w:r>
        <w:rPr>
          <w:rFonts w:hint="eastAsia"/>
        </w:rPr>
        <w:t>用户选择</w:t>
      </w:r>
      <w:proofErr w:type="gramStart"/>
      <w:r>
        <w:rPr>
          <w:rFonts w:hint="eastAsia"/>
        </w:rPr>
        <w:t>采用熵权法</w:t>
      </w:r>
      <w:proofErr w:type="gramEnd"/>
      <w:r>
        <w:rPr>
          <w:rFonts w:hint="eastAsia"/>
        </w:rPr>
        <w:t>或层次分析法</w:t>
      </w:r>
    </w:p>
    <w:p w14:paraId="46C052B9" w14:textId="4EB9EBEA" w:rsidR="002815B6" w:rsidRDefault="002815B6" w:rsidP="002815B6">
      <w:pPr>
        <w:ind w:firstLine="640"/>
      </w:pPr>
      <w:r>
        <w:rPr>
          <w:rFonts w:hint="eastAsia"/>
        </w:rPr>
        <w:t xml:space="preserve">3 </w:t>
      </w:r>
      <w:r>
        <w:rPr>
          <w:rFonts w:hint="eastAsia"/>
        </w:rPr>
        <w:t>设备状态评估</w:t>
      </w:r>
      <w:r w:rsidR="00706FF0">
        <w:rPr>
          <w:rFonts w:hint="eastAsia"/>
        </w:rPr>
        <w:t>与</w:t>
      </w:r>
      <w:r w:rsidR="00706FF0">
        <w:rPr>
          <w:rFonts w:hint="eastAsia"/>
        </w:rPr>
        <w:t>等级划分</w:t>
      </w:r>
    </w:p>
    <w:p w14:paraId="4DE5DAEA" w14:textId="347568A7" w:rsidR="002815B6" w:rsidRDefault="00706FF0" w:rsidP="002815B6">
      <w:pPr>
        <w:ind w:firstLine="640"/>
      </w:pPr>
      <w:r>
        <w:rPr>
          <w:rFonts w:hint="eastAsia"/>
        </w:rPr>
        <w:t>分级标准如下表所示。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  <w:gridCol w:w="4303"/>
      </w:tblGrid>
      <w:tr w:rsidR="00706FF0" w14:paraId="67A8188C" w14:textId="77777777" w:rsidTr="004C0DF4">
        <w:trPr>
          <w:jc w:val="center"/>
        </w:trPr>
        <w:tc>
          <w:tcPr>
            <w:tcW w:w="2263" w:type="dxa"/>
            <w:vAlign w:val="center"/>
          </w:tcPr>
          <w:p w14:paraId="47C73F3F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设备状态等级</w:t>
            </w:r>
          </w:p>
        </w:tc>
        <w:tc>
          <w:tcPr>
            <w:tcW w:w="2268" w:type="dxa"/>
            <w:vAlign w:val="center"/>
          </w:tcPr>
          <w:p w14:paraId="41D227CE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状态评分范围</w:t>
            </w:r>
          </w:p>
        </w:tc>
        <w:tc>
          <w:tcPr>
            <w:tcW w:w="4303" w:type="dxa"/>
            <w:vAlign w:val="center"/>
          </w:tcPr>
          <w:p w14:paraId="364DF476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设备状态描述</w:t>
            </w:r>
          </w:p>
        </w:tc>
      </w:tr>
      <w:tr w:rsidR="00706FF0" w14:paraId="5CBB5335" w14:textId="77777777" w:rsidTr="004C0DF4">
        <w:trPr>
          <w:jc w:val="center"/>
        </w:trPr>
        <w:tc>
          <w:tcPr>
            <w:tcW w:w="2263" w:type="dxa"/>
            <w:vAlign w:val="center"/>
          </w:tcPr>
          <w:p w14:paraId="36C2B037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vAlign w:val="center"/>
          </w:tcPr>
          <w:p w14:paraId="65EF0366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[90,100)</w:t>
            </w:r>
          </w:p>
        </w:tc>
        <w:tc>
          <w:tcPr>
            <w:tcW w:w="4303" w:type="dxa"/>
            <w:vAlign w:val="center"/>
          </w:tcPr>
          <w:p w14:paraId="1D623C98" w14:textId="77777777" w:rsidR="00706FF0" w:rsidRDefault="00706FF0" w:rsidP="004C0DF4">
            <w:pPr>
              <w:pStyle w:val="af2"/>
              <w:spacing w:line="480" w:lineRule="auto"/>
              <w:jc w:val="both"/>
            </w:pPr>
            <w:r w:rsidRPr="00886EA4">
              <w:rPr>
                <w:rFonts w:hint="eastAsia"/>
              </w:rPr>
              <w:t>设备处于正常工作状态，可靠性较稳定</w:t>
            </w:r>
          </w:p>
        </w:tc>
      </w:tr>
      <w:tr w:rsidR="00706FF0" w14:paraId="60D722A4" w14:textId="77777777" w:rsidTr="004C0DF4">
        <w:trPr>
          <w:jc w:val="center"/>
        </w:trPr>
        <w:tc>
          <w:tcPr>
            <w:tcW w:w="2263" w:type="dxa"/>
            <w:vAlign w:val="center"/>
          </w:tcPr>
          <w:p w14:paraId="1973F6BE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2268" w:type="dxa"/>
            <w:vAlign w:val="center"/>
          </w:tcPr>
          <w:p w14:paraId="10CD8C60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[80,90)</w:t>
            </w:r>
          </w:p>
        </w:tc>
        <w:tc>
          <w:tcPr>
            <w:tcW w:w="4303" w:type="dxa"/>
            <w:vAlign w:val="center"/>
          </w:tcPr>
          <w:p w14:paraId="388EFEF1" w14:textId="77777777" w:rsidR="00706FF0" w:rsidRDefault="00706FF0" w:rsidP="004C0DF4">
            <w:pPr>
              <w:pStyle w:val="af2"/>
              <w:spacing w:line="480" w:lineRule="auto"/>
              <w:jc w:val="both"/>
            </w:pPr>
            <w:r w:rsidRPr="00886EA4">
              <w:rPr>
                <w:rFonts w:hint="eastAsia"/>
              </w:rPr>
              <w:t>设备出现一些小问题，需要进行部分维护和调整</w:t>
            </w:r>
          </w:p>
        </w:tc>
      </w:tr>
      <w:tr w:rsidR="00706FF0" w14:paraId="49F4529B" w14:textId="77777777" w:rsidTr="004C0DF4">
        <w:trPr>
          <w:jc w:val="center"/>
        </w:trPr>
        <w:tc>
          <w:tcPr>
            <w:tcW w:w="2263" w:type="dxa"/>
            <w:vAlign w:val="center"/>
          </w:tcPr>
          <w:p w14:paraId="3858C52C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C</w:t>
            </w:r>
          </w:p>
        </w:tc>
        <w:tc>
          <w:tcPr>
            <w:tcW w:w="2268" w:type="dxa"/>
            <w:vAlign w:val="center"/>
          </w:tcPr>
          <w:p w14:paraId="4090E96C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[70,80)</w:t>
            </w:r>
          </w:p>
        </w:tc>
        <w:tc>
          <w:tcPr>
            <w:tcW w:w="4303" w:type="dxa"/>
            <w:vAlign w:val="center"/>
          </w:tcPr>
          <w:p w14:paraId="1257B62B" w14:textId="77777777" w:rsidR="00706FF0" w:rsidRDefault="00706FF0" w:rsidP="004C0DF4">
            <w:pPr>
              <w:pStyle w:val="af2"/>
              <w:spacing w:line="480" w:lineRule="auto"/>
              <w:jc w:val="both"/>
            </w:pPr>
            <w:r w:rsidRPr="00886EA4">
              <w:rPr>
                <w:rFonts w:hint="eastAsia"/>
              </w:rPr>
              <w:t>设备出现早期故障特征，需要及时采取维修措施</w:t>
            </w:r>
          </w:p>
        </w:tc>
      </w:tr>
      <w:tr w:rsidR="00706FF0" w14:paraId="6B6C4A90" w14:textId="77777777" w:rsidTr="004C0DF4">
        <w:trPr>
          <w:jc w:val="center"/>
        </w:trPr>
        <w:tc>
          <w:tcPr>
            <w:tcW w:w="2263" w:type="dxa"/>
            <w:vAlign w:val="center"/>
          </w:tcPr>
          <w:p w14:paraId="3D11ECFC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vAlign w:val="center"/>
          </w:tcPr>
          <w:p w14:paraId="73BD4FDE" w14:textId="77777777" w:rsidR="00706FF0" w:rsidRDefault="00706FF0" w:rsidP="004C0DF4">
            <w:pPr>
              <w:pStyle w:val="af2"/>
            </w:pPr>
            <w:r>
              <w:rPr>
                <w:rFonts w:hint="eastAsia"/>
              </w:rPr>
              <w:t>&lt;70</w:t>
            </w:r>
          </w:p>
        </w:tc>
        <w:tc>
          <w:tcPr>
            <w:tcW w:w="4303" w:type="dxa"/>
            <w:vAlign w:val="center"/>
          </w:tcPr>
          <w:p w14:paraId="40ADED10" w14:textId="77777777" w:rsidR="00706FF0" w:rsidRDefault="00706FF0" w:rsidP="004C0DF4">
            <w:pPr>
              <w:pStyle w:val="af2"/>
              <w:spacing w:line="480" w:lineRule="auto"/>
              <w:jc w:val="both"/>
            </w:pPr>
            <w:r w:rsidRPr="00886EA4">
              <w:rPr>
                <w:rFonts w:hint="eastAsia"/>
              </w:rPr>
              <w:t>设备出现较严重的问题，需要大规模维修或更换</w:t>
            </w:r>
          </w:p>
        </w:tc>
      </w:tr>
    </w:tbl>
    <w:p w14:paraId="2F40108A" w14:textId="77777777" w:rsidR="00706FF0" w:rsidRPr="00706FF0" w:rsidRDefault="00706FF0" w:rsidP="002815B6">
      <w:pPr>
        <w:ind w:firstLine="640"/>
        <w:rPr>
          <w:rFonts w:hint="eastAsia"/>
        </w:rPr>
      </w:pPr>
    </w:p>
    <w:sectPr w:rsidR="00706FF0" w:rsidRPr="00706FF0" w:rsidSect="003572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474" w:bottom="170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E27C3" w14:textId="77777777" w:rsidR="004B6D9A" w:rsidRDefault="004B6D9A" w:rsidP="003572DE">
      <w:pPr>
        <w:spacing w:line="240" w:lineRule="auto"/>
        <w:ind w:firstLine="640"/>
      </w:pPr>
      <w:r>
        <w:separator/>
      </w:r>
    </w:p>
  </w:endnote>
  <w:endnote w:type="continuationSeparator" w:id="0">
    <w:p w14:paraId="6DF8EEBB" w14:textId="77777777" w:rsidR="004B6D9A" w:rsidRDefault="004B6D9A" w:rsidP="003572DE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A8951" w14:textId="77777777" w:rsidR="00200DF3" w:rsidRDefault="00200DF3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94684" w14:textId="77777777" w:rsidR="00200DF3" w:rsidRDefault="00200DF3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ABCED" w14:textId="77777777" w:rsidR="00200DF3" w:rsidRDefault="00200DF3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6A98B" w14:textId="77777777" w:rsidR="004B6D9A" w:rsidRDefault="004B6D9A" w:rsidP="003572DE">
      <w:pPr>
        <w:spacing w:line="240" w:lineRule="auto"/>
        <w:ind w:firstLine="640"/>
      </w:pPr>
      <w:r>
        <w:separator/>
      </w:r>
    </w:p>
  </w:footnote>
  <w:footnote w:type="continuationSeparator" w:id="0">
    <w:p w14:paraId="3CD0DD19" w14:textId="77777777" w:rsidR="004B6D9A" w:rsidRDefault="004B6D9A" w:rsidP="003572DE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09071" w14:textId="77777777" w:rsidR="00200DF3" w:rsidRDefault="00200DF3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5870D" w14:textId="77777777" w:rsidR="00200DF3" w:rsidRDefault="00200DF3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195A" w14:textId="77777777" w:rsidR="00200DF3" w:rsidRDefault="00200DF3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1A"/>
    <w:rsid w:val="00012D29"/>
    <w:rsid w:val="00046E5E"/>
    <w:rsid w:val="000D65ED"/>
    <w:rsid w:val="000E19D7"/>
    <w:rsid w:val="0017122D"/>
    <w:rsid w:val="0019466B"/>
    <w:rsid w:val="001B4E2B"/>
    <w:rsid w:val="001C792C"/>
    <w:rsid w:val="001D5764"/>
    <w:rsid w:val="00200DF3"/>
    <w:rsid w:val="00223F73"/>
    <w:rsid w:val="00280287"/>
    <w:rsid w:val="002815B6"/>
    <w:rsid w:val="002F0FD4"/>
    <w:rsid w:val="003572DE"/>
    <w:rsid w:val="003C5837"/>
    <w:rsid w:val="004B6D9A"/>
    <w:rsid w:val="004C3AE0"/>
    <w:rsid w:val="004D6B42"/>
    <w:rsid w:val="004F49F6"/>
    <w:rsid w:val="005948D1"/>
    <w:rsid w:val="005D34BF"/>
    <w:rsid w:val="005F22B7"/>
    <w:rsid w:val="00621077"/>
    <w:rsid w:val="00670072"/>
    <w:rsid w:val="00671BAB"/>
    <w:rsid w:val="006A2679"/>
    <w:rsid w:val="006C5885"/>
    <w:rsid w:val="006F1C5B"/>
    <w:rsid w:val="007063C8"/>
    <w:rsid w:val="00706FF0"/>
    <w:rsid w:val="00775204"/>
    <w:rsid w:val="007B1C0B"/>
    <w:rsid w:val="007C7958"/>
    <w:rsid w:val="00837EF3"/>
    <w:rsid w:val="00886EA4"/>
    <w:rsid w:val="00905123"/>
    <w:rsid w:val="00992FDF"/>
    <w:rsid w:val="00A00277"/>
    <w:rsid w:val="00B62600"/>
    <w:rsid w:val="00B83889"/>
    <w:rsid w:val="00B93124"/>
    <w:rsid w:val="00BB3D94"/>
    <w:rsid w:val="00BE2290"/>
    <w:rsid w:val="00C50CC0"/>
    <w:rsid w:val="00D51DB5"/>
    <w:rsid w:val="00DD6DC9"/>
    <w:rsid w:val="00E21637"/>
    <w:rsid w:val="00EA4D1A"/>
    <w:rsid w:val="00EE03AE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8BCA1"/>
  <w15:chartTrackingRefBased/>
  <w15:docId w15:val="{904D35B7-3A60-4956-80DA-75193EA0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2DE"/>
    <w:pPr>
      <w:widowControl w:val="0"/>
      <w:spacing w:line="579" w:lineRule="exact"/>
      <w:ind w:firstLineChars="200" w:firstLine="200"/>
      <w:jc w:val="both"/>
    </w:pPr>
    <w:rPr>
      <w:rFonts w:ascii="Times New Roman" w:eastAsia="仿宋_GB2312" w:hAnsi="Times New Roman"/>
      <w:color w:val="000000" w:themeColor="text1"/>
      <w:sz w:val="32"/>
    </w:rPr>
  </w:style>
  <w:style w:type="paragraph" w:styleId="1">
    <w:name w:val="heading 1"/>
    <w:basedOn w:val="a"/>
    <w:next w:val="a"/>
    <w:link w:val="10"/>
    <w:uiPriority w:val="9"/>
    <w:qFormat/>
    <w:rsid w:val="003572DE"/>
    <w:pPr>
      <w:keepNext/>
      <w:keepLines/>
      <w:spacing w:before="120" w:after="120"/>
      <w:jc w:val="center"/>
      <w:outlineLvl w:val="0"/>
    </w:pPr>
    <w:rPr>
      <w:rFonts w:eastAsia="方正小标宋简体" w:cstheme="majorBidi"/>
      <w:sz w:val="36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D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D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D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D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D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D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2DE"/>
    <w:rPr>
      <w:rFonts w:ascii="Times New Roman" w:eastAsia="方正小标宋简体" w:hAnsi="Times New Roman" w:cstheme="majorBidi"/>
      <w:color w:val="000000" w:themeColor="text1"/>
      <w:sz w:val="36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4D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4D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4D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4D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4D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4D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4D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D1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4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4D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4D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4D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4D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4D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4D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572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572D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57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572DE"/>
    <w:rPr>
      <w:sz w:val="18"/>
      <w:szCs w:val="18"/>
    </w:rPr>
  </w:style>
  <w:style w:type="paragraph" w:styleId="af2">
    <w:name w:val="No Spacing"/>
    <w:uiPriority w:val="1"/>
    <w:qFormat/>
    <w:rsid w:val="0017122D"/>
    <w:pPr>
      <w:widowControl w:val="0"/>
      <w:jc w:val="center"/>
    </w:pPr>
    <w:rPr>
      <w:rFonts w:ascii="Times New Roman" w:eastAsia="仿宋_GB2312" w:hAnsi="Times New Roman"/>
      <w:color w:val="000000" w:themeColor="text1"/>
      <w:sz w:val="28"/>
    </w:rPr>
  </w:style>
  <w:style w:type="table" w:styleId="af3">
    <w:name w:val="Table Grid"/>
    <w:basedOn w:val="a1"/>
    <w:uiPriority w:val="39"/>
    <w:rsid w:val="0035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2025-09-16T02:57:00Z</dcterms:created>
  <dcterms:modified xsi:type="dcterms:W3CDTF">2025-09-28T09:07:00Z</dcterms:modified>
</cp:coreProperties>
</file>