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A98DA">
      <w:pPr>
        <w:spacing w:before="120" w:after="120" w:line="560" w:lineRule="exact"/>
        <w:ind w:firstLine="560" w:firstLineChars="200"/>
        <w:rPr>
          <w:rFonts w:ascii="仿宋_GB2312" w:hAnsi="Arial" w:eastAsia="仿宋_GB2312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Arial" w:eastAsia="仿宋_GB2312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附件</w:t>
      </w:r>
      <w:r>
        <w:rPr>
          <w:rFonts w:ascii="仿宋_GB2312" w:hAnsi="Arial" w:eastAsia="仿宋_GB2312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仿宋_GB2312" w:hAnsi="Arial" w:eastAsia="仿宋_GB2312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</w:p>
    <w:p w14:paraId="00590078">
      <w:pPr>
        <w:spacing w:line="560" w:lineRule="exact"/>
        <w:jc w:val="center"/>
        <w:rPr>
          <w:rFonts w:hint="eastAsia" w:ascii="方正小标宋简体" w:hAnsi="方正小标宋简体" w:eastAsia="方正小标宋简体" w:cs="国标仿宋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国标仿宋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大赛报名表</w:t>
      </w:r>
    </w:p>
    <w:p w14:paraId="4A4DB5E8">
      <w:pPr>
        <w:spacing w:line="560" w:lineRule="exact"/>
        <w:rPr>
          <w:rFonts w:hint="eastAsia" w:ascii="仿宋_GB2312" w:hAnsi="国标仿宋" w:eastAsia="仿宋_GB2312" w:cs="国标仿宋"/>
          <w:color w:val="000000" w:themeColor="text1"/>
          <w:sz w:val="36"/>
          <w:szCs w:val="28"/>
          <w14:textFill>
            <w14:solidFill>
              <w14:schemeClr w14:val="tx1"/>
            </w14:solidFill>
          </w14:textFill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5517"/>
      </w:tblGrid>
      <w:tr w14:paraId="49C9A648">
        <w:trPr>
          <w:trHeight w:val="1326" w:hRule="atLeast"/>
          <w:jc w:val="center"/>
        </w:trPr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C7832A">
            <w:pPr>
              <w:spacing w:before="120" w:after="120" w:line="560" w:lineRule="exact"/>
              <w:jc w:val="left"/>
              <w:rPr>
                <w:rFonts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0" w:name="_Hlk224570203"/>
            <w:r>
              <w:rPr>
                <w:rFonts w:hint="eastAsia"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参赛人员信息</w:t>
            </w:r>
          </w:p>
        </w:tc>
        <w:tc>
          <w:tcPr>
            <w:tcW w:w="5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8B774C">
            <w:pPr>
              <w:spacing w:line="560" w:lineRule="exact"/>
              <w:rPr>
                <w:rFonts w:hint="eastAsia" w:ascii="汉仪粗仿宋简" w:hAnsi="汉仪粗仿宋简" w:eastAsia="汉仪粗仿宋简" w:cs="汉仪粗仿宋简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汉仪粗仿宋简" w:hAnsi="汉仪粗仿宋简" w:eastAsia="汉仪粗仿宋简" w:cs="汉仪粗仿宋简"/>
                <w:sz w:val="28"/>
                <w:szCs w:val="28"/>
              </w:rPr>
              <w:t>李涵 袁春欢 刘文馨 贾士龙</w:t>
            </w:r>
          </w:p>
        </w:tc>
      </w:tr>
      <w:tr w14:paraId="133D0F93">
        <w:trPr>
          <w:trHeight w:val="1276" w:hRule="atLeast"/>
          <w:jc w:val="center"/>
        </w:trPr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90A65B">
            <w:pPr>
              <w:spacing w:before="120" w:after="120" w:line="560" w:lineRule="exact"/>
              <w:jc w:val="left"/>
              <w:rPr>
                <w:rFonts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所属单位</w:t>
            </w:r>
          </w:p>
        </w:tc>
        <w:tc>
          <w:tcPr>
            <w:tcW w:w="5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8C6520">
            <w:pPr>
              <w:spacing w:line="560" w:lineRule="exact"/>
              <w:rPr>
                <w:rFonts w:hint="eastAsia" w:ascii="汉仪粗仿宋简" w:hAnsi="汉仪粗仿宋简" w:eastAsia="汉仪粗仿宋简" w:cs="汉仪粗仿宋简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汉仪粗仿宋简" w:hAnsi="汉仪粗仿宋简" w:eastAsia="汉仪粗仿宋简" w:cs="汉仪粗仿宋简"/>
                <w:sz w:val="28"/>
                <w:szCs w:val="28"/>
              </w:rPr>
              <w:t>金电云</w:t>
            </w:r>
          </w:p>
        </w:tc>
      </w:tr>
      <w:tr w14:paraId="3315B944">
        <w:trPr>
          <w:trHeight w:val="1326" w:hRule="atLeast"/>
          <w:jc w:val="center"/>
        </w:trPr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249DBB">
            <w:pPr>
              <w:spacing w:before="120" w:after="120" w:line="560" w:lineRule="exact"/>
              <w:jc w:val="left"/>
              <w:rPr>
                <w:rFonts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参赛赛道</w:t>
            </w:r>
          </w:p>
        </w:tc>
        <w:tc>
          <w:tcPr>
            <w:tcW w:w="5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C65946">
            <w:pPr>
              <w:spacing w:line="560" w:lineRule="exact"/>
              <w:rPr>
                <w:rFonts w:hint="eastAsia" w:ascii="汉仪粗仿宋简" w:hAnsi="汉仪粗仿宋简" w:eastAsia="汉仪粗仿宋简" w:cs="汉仪粗仿宋简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汉仪粗仿宋简" w:hAnsi="汉仪粗仿宋简" w:eastAsia="汉仪粗仿宋简" w:cs="汉仪粗仿宋简"/>
                <w:sz w:val="28"/>
                <w:szCs w:val="28"/>
              </w:rPr>
              <w:t>赛道二：AI赋能完善产品及服务</w:t>
            </w:r>
          </w:p>
        </w:tc>
      </w:tr>
      <w:tr w14:paraId="487935D9">
        <w:trPr>
          <w:trHeight w:val="1326" w:hRule="atLeast"/>
          <w:jc w:val="center"/>
        </w:trPr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3B2F54">
            <w:pPr>
              <w:spacing w:before="120" w:after="120" w:line="560" w:lineRule="exact"/>
              <w:jc w:val="left"/>
              <w:rPr>
                <w:rFonts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作品名称</w:t>
            </w:r>
          </w:p>
        </w:tc>
        <w:tc>
          <w:tcPr>
            <w:tcW w:w="5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B84A80">
            <w:pPr>
              <w:spacing w:line="560" w:lineRule="exact"/>
              <w:rPr>
                <w:rFonts w:hint="eastAsia" w:ascii="汉仪粗仿宋简" w:hAnsi="汉仪粗仿宋简" w:eastAsia="汉仪粗仿宋简" w:cs="汉仪粗仿宋简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汉仪粗仿宋简" w:hAnsi="汉仪粗仿宋简" w:eastAsia="汉仪粗仿宋简" w:cs="汉仪粗仿宋简"/>
                <w:sz w:val="28"/>
                <w:szCs w:val="28"/>
              </w:rPr>
              <w:t>金枢—数据中心全栈智能辅助平台</w:t>
            </w:r>
          </w:p>
        </w:tc>
      </w:tr>
      <w:tr w14:paraId="6F65360C">
        <w:trPr>
          <w:trHeight w:val="1326" w:hRule="atLeast"/>
          <w:jc w:val="center"/>
        </w:trPr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323B0A">
            <w:pPr>
              <w:spacing w:before="120" w:after="120" w:line="560" w:lineRule="exact"/>
              <w:jc w:val="left"/>
              <w:rPr>
                <w:rFonts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B57236D">
            <w:pPr>
              <w:spacing w:before="120" w:after="120" w:line="560" w:lineRule="exact"/>
              <w:ind w:firstLine="560" w:firstLineChars="200"/>
              <w:jc w:val="left"/>
              <w:rPr>
                <w:rFonts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大赛对接人</w:t>
            </w:r>
            <w:r>
              <w:rPr>
                <w:rFonts w:hint="eastAsia"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303A05BE">
            <w:pPr>
              <w:spacing w:before="120" w:after="120" w:line="560" w:lineRule="exact"/>
              <w:jc w:val="left"/>
              <w:rPr>
                <w:rFonts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6EF8EB">
            <w:pPr>
              <w:spacing w:before="120" w:after="120" w:line="560" w:lineRule="exact"/>
              <w:jc w:val="left"/>
              <w:rPr>
                <w:rFonts w:hint="eastAsia" w:ascii="汉仪粗仿宋简" w:hAnsi="汉仪粗仿宋简" w:eastAsia="汉仪粗仿宋简" w:cs="汉仪粗仿宋简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汉仪粗仿宋简" w:hAnsi="汉仪粗仿宋简" w:eastAsia="汉仪粗仿宋简" w:cs="汉仪粗仿宋简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姓名：李涵</w:t>
            </w:r>
          </w:p>
          <w:p w14:paraId="21EDAF76">
            <w:pPr>
              <w:spacing w:before="120" w:after="120" w:line="560" w:lineRule="exact"/>
              <w:jc w:val="left"/>
              <w:rPr>
                <w:rFonts w:hint="eastAsia" w:ascii="汉仪粗仿宋简" w:hAnsi="汉仪粗仿宋简" w:eastAsia="汉仪粗仿宋简" w:cs="汉仪粗仿宋简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汉仪粗仿宋简" w:hAnsi="汉仪粗仿宋简" w:eastAsia="汉仪粗仿宋简" w:cs="汉仪粗仿宋简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联系方式：lihan@icfcc.com</w:t>
            </w:r>
          </w:p>
          <w:p w14:paraId="4B01C6EC">
            <w:pPr>
              <w:spacing w:before="120" w:after="120" w:line="560" w:lineRule="exact"/>
              <w:jc w:val="left"/>
              <w:rPr>
                <w:rFonts w:hint="eastAsia" w:ascii="汉仪粗仿宋简" w:hAnsi="汉仪粗仿宋简" w:eastAsia="汉仪粗仿宋简" w:cs="汉仪粗仿宋简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汉仪粗仿宋简" w:hAnsi="汉仪粗仿宋简" w:eastAsia="汉仪粗仿宋简" w:cs="汉仪粗仿宋简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联系电话：15801608038</w:t>
            </w:r>
          </w:p>
        </w:tc>
      </w:tr>
      <w:tr w14:paraId="29A9E7F2">
        <w:trPr>
          <w:trHeight w:val="2603" w:hRule="atLeast"/>
          <w:jc w:val="center"/>
        </w:trPr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CC5599">
            <w:pPr>
              <w:spacing w:before="120" w:after="120" w:line="560" w:lineRule="exact"/>
              <w:jc w:val="left"/>
              <w:rPr>
                <w:rFonts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作品简介</w:t>
            </w:r>
          </w:p>
          <w:p w14:paraId="47A06C42">
            <w:pPr>
              <w:spacing w:before="120" w:after="120" w:line="560" w:lineRule="exact"/>
              <w:ind w:firstLine="280" w:firstLineChars="100"/>
              <w:jc w:val="left"/>
              <w:rPr>
                <w:rFonts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（不超过5</w:t>
            </w:r>
            <w:r>
              <w:rPr>
                <w:rFonts w:ascii="仿宋_GB2312" w:hAnsi="Arial" w:eastAsia="仿宋_GB2312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00字）</w:t>
            </w:r>
          </w:p>
        </w:tc>
        <w:tc>
          <w:tcPr>
            <w:tcW w:w="5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033919">
            <w:pPr>
              <w:spacing w:before="120" w:after="120" w:line="560" w:lineRule="exact"/>
              <w:ind w:firstLine="560" w:firstLineChars="200"/>
              <w:rPr>
                <w:rFonts w:hint="eastAsia" w:ascii="仿宋_GB2312" w:hAnsi="国标仿宋" w:eastAsia="仿宋_GB2312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汉仪粗仿宋简" w:hAnsi="汉仪粗仿宋简" w:eastAsia="汉仪粗仿宋简" w:cs="汉仪粗仿宋简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“金枢”是专为公司打造的</w:t>
            </w:r>
            <w:r>
              <w:rPr>
                <w:rFonts w:hint="eastAsia" w:ascii="汉仪粗仿宋简" w:hAnsi="汉仪粗仿宋简" w:eastAsia="汉仪粗仿宋简" w:cs="汉仪粗仿宋简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全域多模态</w:t>
            </w:r>
            <w:r>
              <w:rPr>
                <w:rFonts w:hint="eastAsia" w:ascii="汉仪粗仿宋简" w:hAnsi="汉仪粗仿宋简" w:eastAsia="汉仪粗仿宋简" w:cs="汉仪粗仿宋简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AI智能</w:t>
            </w:r>
            <w:r>
              <w:rPr>
                <w:rFonts w:hint="eastAsia" w:ascii="汉仪粗仿宋简" w:hAnsi="汉仪粗仿宋简" w:eastAsia="汉仪粗仿宋简" w:cs="汉仪粗仿宋简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辅助决策中枢</w:t>
            </w:r>
            <w:r>
              <w:rPr>
                <w:rFonts w:hint="eastAsia" w:ascii="汉仪粗仿宋简" w:hAnsi="汉仪粗仿宋简" w:eastAsia="汉仪粗仿宋简" w:cs="汉仪粗仿宋简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。系统基于本地私有化部署的大</w:t>
            </w:r>
            <w:r>
              <w:rPr>
                <w:rFonts w:hint="eastAsia" w:ascii="汉仪粗仿宋简" w:hAnsi="汉仪粗仿宋简" w:eastAsia="汉仪粗仿宋简" w:cs="汉仪粗仿宋简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参数</w:t>
            </w:r>
            <w:r>
              <w:rPr>
                <w:rFonts w:hint="eastAsia" w:ascii="汉仪粗仿宋简" w:hAnsi="汉仪粗仿宋简" w:eastAsia="汉仪粗仿宋简" w:cs="汉仪粗仿宋简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语言模型与</w:t>
            </w:r>
            <w:r>
              <w:rPr>
                <w:rFonts w:hint="eastAsia" w:ascii="汉仪粗仿宋简" w:hAnsi="汉仪粗仿宋简" w:eastAsia="汉仪粗仿宋简" w:cs="汉仪粗仿宋简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自主</w:t>
            </w:r>
            <w:r>
              <w:rPr>
                <w:rFonts w:hint="eastAsia" w:ascii="汉仪粗仿宋简" w:hAnsi="汉仪粗仿宋简" w:eastAsia="汉仪粗仿宋简" w:cs="汉仪粗仿宋简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智能体</w:t>
            </w:r>
            <w:r>
              <w:rPr>
                <w:rFonts w:hint="eastAsia" w:ascii="汉仪粗仿宋简" w:hAnsi="汉仪粗仿宋简" w:eastAsia="汉仪粗仿宋简" w:cs="汉仪粗仿宋简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底座</w:t>
            </w:r>
            <w:r>
              <w:rPr>
                <w:rFonts w:hint="eastAsia" w:ascii="汉仪粗仿宋简" w:hAnsi="汉仪粗仿宋简" w:eastAsia="汉仪粗仿宋简" w:cs="汉仪粗仿宋简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，</w:t>
            </w:r>
            <w:bookmarkStart w:id="1" w:name="_GoBack"/>
            <w:bookmarkEnd w:id="1"/>
            <w:r>
              <w:rPr>
                <w:rFonts w:hint="eastAsia" w:ascii="仿宋_GB2312" w:hAnsi="国标仿宋" w:eastAsia="仿宋_GB2312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在严格坚守人机物理隔离的安全红线下，</w:t>
            </w:r>
            <w:r>
              <w:rPr>
                <w:rFonts w:hint="eastAsia" w:ascii="仿宋_GB2312" w:hAnsi="国标仿宋" w:eastAsia="仿宋_GB2312" w:cs="国标仿宋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实现了高维度的异构数据耦合，打通了</w:t>
            </w:r>
            <w:r>
              <w:rPr>
                <w:rFonts w:hint="eastAsia" w:ascii="仿宋_GB2312" w:hAnsi="国标仿宋" w:eastAsia="仿宋_GB2312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机房基础环境（动力、暖通、安防）、IT基础设施（服务器、操作系统、数据库）到软件架构（应用、业务）的全维度监控感知数据，为一线运维人员提供精准的预测性优化建议、专家级故障排查指导与知识库动态沉淀等核心功能。</w:t>
            </w:r>
          </w:p>
          <w:p w14:paraId="3FFB6DC5">
            <w:pPr>
              <w:spacing w:line="560" w:lineRule="exact"/>
              <w:rPr>
                <w:rFonts w:hint="eastAsia" w:ascii="汉仪粗仿宋简" w:hAnsi="汉仪粗仿宋简" w:eastAsia="汉仪粗仿宋简" w:cs="汉仪粗仿宋简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1817B30">
            <w:pPr>
              <w:spacing w:line="560" w:lineRule="exact"/>
              <w:rPr>
                <w:rFonts w:hint="eastAsia" w:ascii="汉仪粗仿宋简" w:hAnsi="汉仪粗仿宋简" w:eastAsia="汉仪粗仿宋简" w:cs="汉仪粗仿宋简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bookmarkEnd w:id="0"/>
    </w:tbl>
    <w:p w14:paraId="2B800EE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altName w:val="汉仪书宋二KW"/>
    <w:panose1 w:val="00000600000000000000"/>
    <w:charset w:val="86"/>
    <w:family w:val="script"/>
    <w:pitch w:val="default"/>
    <w:sig w:usb0="00000000" w:usb1="00000000" w:usb2="00000010" w:usb3="00000000" w:csb0="00040000" w:csb1="00000000"/>
  </w:font>
  <w:font w:name="方正舒体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国标仿宋">
    <w:altName w:val="方正仿宋_GBK"/>
    <w:panose1 w:val="00000000000000000000"/>
    <w:charset w:val="86"/>
    <w:family w:val="auto"/>
    <w:pitch w:val="default"/>
    <w:sig w:usb0="00000000" w:usb1="00000000" w:usb2="00000016" w:usb3="00000000" w:csb0="00060007" w:csb1="00000000"/>
  </w:font>
  <w:font w:name="汉仪粗仿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4D82"/>
    <w:rsid w:val="00007FC7"/>
    <w:rsid w:val="002F3B11"/>
    <w:rsid w:val="00512AC1"/>
    <w:rsid w:val="00994E5C"/>
    <w:rsid w:val="009D20D4"/>
    <w:rsid w:val="00A502EF"/>
    <w:rsid w:val="00BF4D82"/>
    <w:rsid w:val="00C8486D"/>
    <w:rsid w:val="00F87C8D"/>
    <w:rsid w:val="15FF28E2"/>
    <w:rsid w:val="4FFF129E"/>
    <w:rsid w:val="B3FED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3"/>
    <w:qFormat/>
    <w:uiPriority w:val="39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2"/>
    <w:link w:val="5"/>
    <w:uiPriority w:val="99"/>
    <w:rPr>
      <w:kern w:val="0"/>
      <w:sz w:val="18"/>
      <w:szCs w:val="18"/>
    </w:rPr>
  </w:style>
  <w:style w:type="character" w:customStyle="1" w:styleId="8">
    <w:name w:val="页脚 字符"/>
    <w:basedOn w:val="2"/>
    <w:link w:val="4"/>
    <w:uiPriority w:val="99"/>
    <w:rPr>
      <w:kern w:val="0"/>
      <w:sz w:val="18"/>
      <w:szCs w:val="18"/>
    </w:rPr>
  </w:style>
  <w:style w:type="paragraph" w:customStyle="1" w:styleId="9">
    <w:name w:val="Revision"/>
    <w:hidden/>
    <w:unhideWhenUsed/>
    <w:uiPriority w:val="99"/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390</Words>
  <Characters>430</Characters>
  <Lines>47</Lines>
  <Paragraphs>43</Paragraphs>
  <TotalTime>113</TotalTime>
  <ScaleCrop>false</ScaleCrop>
  <LinksUpToDate>false</LinksUpToDate>
  <CharactersWithSpaces>777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2026-03-18T03:00:00Z</dcterms:created>
  <dc:creator>86188</dc:creator>
  <cp:lastModifiedBy>hanfield</cp:lastModifiedBy>
  <dcterms:modified xsi:type="dcterms:W3CDTF">2026-04-03T13:11:40Z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1033-12.1.25205.25205</vt:lpwstr>
  </property>
  <property fmtid="{D5CDD505-2E9C-101B-9397-08002B2CF9AE}" pid="3" name="ICV">
    <vt:lpwstr>8919AE24AB220B1E0C4CCF6939FE2437_43</vt:lpwstr>
  </property>
</Properties>
</file>