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80"/>
        <w:jc w:val="center"/>
      </w:pPr>
      <w:r>
        <w:rPr>
          <w:rFonts w:ascii="Arial" w:cs="Arial" w:eastAsia="Arial" w:hAnsi="Arial"/>
          <w:b/>
          <w:bCs/>
          <w:color w:val="1B2A4A"/>
          <w:sz w:val="56"/>
          <w:szCs w:val="56"/>
        </w:rPr>
        <w:t xml:space="preserve">ORAYA AI LLC</w:t>
      </w:r>
    </w:p>
    <w:p>
      <w:pPr>
        <w:pBdr>
          <w:bottom w:val="single" w:color="C5A55A" w:sz="8" w:space="8"/>
        </w:pBdr>
        <w:spacing w:after="40"/>
        <w:jc w:val="center"/>
      </w:pPr>
      <w:r>
        <w:rPr>
          <w:rFonts w:ascii="Arial" w:cs="Arial" w:eastAsia="Arial" w:hAnsi="Arial"/>
          <w:i/>
          <w:iCs/>
          <w:color w:val="C5A55A"/>
          <w:sz w:val="24"/>
          <w:szCs w:val="24"/>
        </w:rPr>
        <w:t xml:space="preserve">Intelligent Voice Infrastructure</w:t>
      </w:r>
    </w:p>
    <w:p>
      <w:pPr>
        <w:spacing w:after="100"/>
      </w:pPr>
    </w:p>
    <w:p>
      <w:pPr>
        <w:spacing w:after="100"/>
      </w:pPr>
    </w:p>
    <w:p>
      <w:pPr>
        <w:spacing w:after="120"/>
        <w:jc w:val="center"/>
      </w:pPr>
      <w:r>
        <w:rPr>
          <w:rFonts w:ascii="Arial" w:cs="Arial" w:eastAsia="Arial" w:hAnsi="Arial"/>
          <w:b/>
          <w:bCs/>
          <w:color w:val="1B2A4A"/>
          <w:sz w:val="36"/>
          <w:szCs w:val="36"/>
        </w:rPr>
        <w:t xml:space="preserve">POST-IMPLEMENTATION</w:t>
      </w:r>
    </w:p>
    <w:p>
      <w:pPr>
        <w:spacing w:after="120"/>
        <w:jc w:val="center"/>
      </w:pPr>
      <w:r>
        <w:rPr>
          <w:rFonts w:ascii="Arial" w:cs="Arial" w:eastAsia="Arial" w:hAnsi="Arial"/>
          <w:b/>
          <w:bCs/>
          <w:color w:val="1B2A4A"/>
          <w:sz w:val="36"/>
          <w:szCs w:val="36"/>
        </w:rPr>
        <w:t xml:space="preserve">LEGAL &amp; TECHNICAL COMPLIANCE</w:t>
      </w:r>
    </w:p>
    <w:p>
      <w:pPr>
        <w:spacing w:after="200"/>
        <w:jc w:val="center"/>
      </w:pPr>
      <w:r>
        <w:rPr>
          <w:rFonts w:ascii="Arial" w:cs="Arial" w:eastAsia="Arial" w:hAnsi="Arial"/>
          <w:b/>
          <w:bCs/>
          <w:color w:val="1B2A4A"/>
          <w:sz w:val="36"/>
          <w:szCs w:val="36"/>
        </w:rPr>
        <w:t xml:space="preserve">VERIFICATION REPORT</w:t>
      </w:r>
    </w:p>
    <w:p>
      <w:pPr>
        <w:pBdr>
          <w:bottom w:val="single" w:color="C5A55A" w:sz="6" w:space="1"/>
        </w:pBdr>
        <w:spacing w:before="200" w:after="200"/>
      </w:pPr>
    </w:p>
    <w:p>
      <w:pPr>
        <w:spacing w:after="80"/>
        <w:jc w:val="center"/>
      </w:pPr>
      <w:r>
        <w:rPr>
          <w:rFonts w:ascii="Arial" w:cs="Arial" w:eastAsia="Arial" w:hAnsi="Arial"/>
          <w:color w:val="2E5A88"/>
          <w:sz w:val="24"/>
          <w:szCs w:val="24"/>
        </w:rPr>
        <w:t xml:space="preserve">Mercedes of South Bay — Torrance, California</w:t>
      </w:r>
    </w:p>
    <w:p>
      <w:pPr>
        <w:spacing w:after="80"/>
        <w:jc w:val="center"/>
      </w:pPr>
      <w:r>
        <w:rPr>
          <w:rFonts w:ascii="Arial" w:cs="Arial" w:eastAsia="Arial" w:hAnsi="Arial"/>
          <w:color w:val="2E5A88"/>
          <w:sz w:val="24"/>
          <w:szCs w:val="24"/>
        </w:rPr>
        <w:t xml:space="preserve">Voice AI Deployment</w:t>
      </w:r>
    </w:p>
    <w:p>
      <w:pPr>
        <w:spacing w:after="100"/>
      </w:pPr>
    </w:p>
    <w:p>
      <w:pPr>
        <w:spacing w:after="40"/>
        <w:jc w:val="center"/>
      </w:pPr>
      <w:r>
        <w:rPr>
          <w:rFonts w:ascii="Arial" w:cs="Arial" w:eastAsia="Arial" w:hAnsi="Arial"/>
          <w:color w:val="666666"/>
          <w:sz w:val="20"/>
          <w:szCs w:val="20"/>
        </w:rPr>
        <w:t xml:space="preserve">Version 2.0  |  March 15, 2026</w:t>
      </w:r>
    </w:p>
    <w:p>
      <w:pPr>
        <w:spacing w:after="40"/>
        <w:jc w:val="center"/>
      </w:pPr>
      <w:r>
        <w:rPr>
          <w:rFonts w:ascii="Arial" w:cs="Arial" w:eastAsia="Arial" w:hAnsi="Arial"/>
          <w:b/>
          <w:bCs/>
          <w:color w:val="CC0000"/>
          <w:sz w:val="22"/>
          <w:szCs w:val="22"/>
        </w:rPr>
        <w:t xml:space="preserve">CONFIDENTIAL</w:t>
      </w:r>
    </w:p>
    <w:p>
      <w:pPr>
        <w:spacing w:after="40"/>
        <w:jc w:val="center"/>
      </w:pPr>
      <w:r>
        <w:rPr>
          <w:rFonts w:ascii="Arial" w:cs="Arial" w:eastAsia="Arial" w:hAnsi="Arial"/>
          <w:color w:val="666666"/>
          <w:sz w:val="20"/>
          <w:szCs w:val="20"/>
        </w:rPr>
        <w:t xml:space="preserve">Prepared For: General Counsel, Mercedes of South Bay</w:t>
      </w:r>
    </w:p>
    <w:p>
      <w:pPr>
        <w:spacing w:after="40"/>
        <w:jc w:val="center"/>
      </w:pPr>
      <w:r>
        <w:rPr>
          <w:rFonts w:ascii="Arial" w:cs="Arial" w:eastAsia="Arial" w:hAnsi="Arial"/>
          <w:color w:val="666666"/>
          <w:sz w:val="20"/>
          <w:szCs w:val="20"/>
        </w:rPr>
        <w:t xml:space="preserve">Jurisdiction: State of California, USA (Federal Overlay: FCC / FTC / TCPA)</w:t>
      </w:r>
    </w:p>
    <w:p>
      <w:pPr>
        <w:spacing w:after="40"/>
        <w:jc w:val="center"/>
      </w:pPr>
      <w:r>
        <w:rPr>
          <w:rFonts w:ascii="Arial" w:cs="Arial" w:eastAsia="Arial" w:hAnsi="Arial"/>
          <w:color w:val="666666"/>
          <w:sz w:val="20"/>
          <w:szCs w:val="20"/>
        </w:rPr>
        <w:t xml:space="preserve">System Status: </w:t>
      </w:r>
      <w:r>
        <w:rPr>
          <w:rFonts w:ascii="Arial" w:cs="Arial" w:eastAsia="Arial" w:hAnsi="Arial"/>
          <w:b/>
          <w:bCs/>
          <w:color w:val="228B22"/>
          <w:sz w:val="20"/>
          <w:szCs w:val="20"/>
        </w:rPr>
        <w:t xml:space="preserve">● LIVE — Programmatic Compliance Controls Active</w:t>
      </w:r>
    </w:p>
    <w:p>
      <w:pPr>
        <w:spacing w:after="100"/>
      </w:pPr>
    </w:p>
    <w:p>
      <w:pPr>
        <w:spacing w:after="100"/>
      </w:pPr>
    </w:p>
    <w:p>
      <w:pPr>
        <w:spacing w:after="100"/>
      </w:pPr>
    </w:p>
    <w:p>
      <w:pPr>
        <w:spacing w:after="100"/>
      </w:pPr>
    </w:p>
    <w:p>
      <w:pPr>
        <w:spacing w:after="100"/>
      </w:pPr>
    </w:p>
    <w:p>
      <w:pPr>
        <w:spacing w:after="100"/>
      </w:pPr>
    </w:p>
    <w:p>
      <w:pPr>
        <w:jc w:val="center"/>
      </w:pPr>
      <w:r>
        <w:rPr>
          <w:rFonts w:ascii="Arial" w:cs="Arial" w:eastAsia="Arial" w:hAnsi="Arial"/>
          <w:color w:val="666666"/>
          <w:sz w:val="18"/>
          <w:szCs w:val="18"/>
        </w:rPr>
        <w:t xml:space="preserve">© 2026 Oraya AI LLC  ·  orayalabs.ai</w:t>
      </w:r>
    </w:p>
    <w:p>
      <w:pPr>
        <w:sectPr>
          <w:pgSz w:w="12240" w:h="15840" w:orient="portrait"/>
          <w:pgMar w:top="720" w:right="1080" w:bottom="720" w:left="1080" w:header="708" w:footer="708" w:gutter="0"/>
          <w:pgNumType/>
          <w:docGrid w:linePitch="360"/>
        </w:sectPr>
      </w:pPr>
    </w:p>
    <w:p>
      <w:pPr>
        <w:pBdr>
          <w:left w:val="single" w:color="C5A55A" w:sz="12" w:space="8"/>
        </w:pBdr>
        <w:shd w:fill="FFF3E0" w:val="clear"/>
        <w:spacing w:after="200"/>
        <w:ind w:left="200"/>
      </w:pPr>
      <w:r>
        <w:rPr>
          <w:rFonts w:ascii="Arial" w:cs="Arial" w:eastAsia="Arial" w:hAnsi="Arial"/>
          <w:i/>
          <w:iCs/>
          <w:color w:val="2C2C2C"/>
          <w:sz w:val="18"/>
          <w:szCs w:val="18"/>
        </w:rPr>
        <w:t xml:space="preserve">PRIVILEGE NOTICE: This document constitutes a formal legal and technical certification for the Voice AI deployment described herein. It is prepared exclusively for the review of authorized legal counsel, IT security stakeholders, and executive decision-makers of Mercedes of South Bay. Reproduction or distribution without express written authorization is strictly prohibited.</w:t>
      </w:r>
    </w:p>
    <w:p>
      <w:pPr>
        <w:spacing w:after="100"/>
      </w:pPr>
    </w:p>
    <w:p>
      <w:pPr>
        <w:pStyle w:val="Heading1"/>
        <w:spacing w:before="360" w:after="20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r>
              <w:rPr>
                <w:rFonts w:ascii="Arial" w:cs="Arial" w:eastAsia="Arial" w:hAnsi="Arial"/>
                <w:b/>
                <w:bCs/>
                <w:color w:val="FFFFFF"/>
                <w:sz w:val="18"/>
                <w:szCs w:val="18"/>
              </w:rPr>
              <w:t xml:space="preserve">DEPLOYED TECHNICAL STACK: </w:t>
            </w:r>
            <w:r>
              <w:rPr>
                <w:rFonts w:ascii="Arial" w:cs="Arial" w:eastAsia="Arial" w:hAnsi="Arial"/>
                <w:color w:val="CCDDEE"/>
                <w:sz w:val="18"/>
                <w:szCs w:val="18"/>
              </w:rPr>
              <w:t xml:space="preserve">Telephony: Twilio (A2P 10DLC) | Voice AI: RetellAI (SOC 2 / HIPAA / ISO 27001) | Automation: n8n Cloud (30-day log purge) | Database: Supabase PostgreSQL (AES-256, RLS) | Admin: Google Vertex AI (ZDR) | Dashboard: Vercel (TISAX Level 2)</w:t>
            </w:r>
          </w:p>
        </w:tc>
      </w:tr>
    </w:tbl>
    <w:p>
      <w:pPr>
        <w:spacing w:after="100"/>
      </w:pPr>
    </w:p>
    <w:p>
      <w:pPr>
        <w:pStyle w:val="Heading1"/>
        <w:spacing w:before="360" w:after="200"/>
      </w:pPr>
      <w:r>
        <w:rPr>
          <w:rFonts w:ascii="Arial" w:cs="Arial" w:eastAsia="Arial" w:hAnsi="Arial"/>
        </w:rPr>
        <w:t xml:space="preserve">1. Executive Summary</w:t>
      </w:r>
    </w:p>
    <w:p>
      <w:pPr>
        <w:spacing w:after="120"/>
      </w:pPr>
      <w:r>
        <w:rPr>
          <w:rFonts w:ascii="Arial" w:cs="Arial" w:eastAsia="Arial" w:hAnsi="Arial"/>
          <w:b/>
          <w:bCs/>
          <w:i w:val="false"/>
          <w:iCs w:val="false"/>
          <w:color w:val="2C2C2C"/>
          <w:sz w:val="22"/>
          <w:szCs w:val="22"/>
        </w:rPr>
        <w:t xml:space="preserve">System Status: LIVE. The dual-capability (inbound and outbound) Voice AI assistant serving Mercedes of South Bay is operational. This report constitutes the formal Post-Implementation Legal and Compliance Verification, confirming that the architecture, as deployed, satisfies applicable federal telecommunications law, California state wiretapping and privacy statutes, and federal consumer protection mandates as of March 15, 2026.</w:t>
      </w:r>
    </w:p>
    <w:p>
      <w:pPr>
        <w:pStyle w:val="Heading3"/>
        <w:spacing w:before="200" w:after="120"/>
      </w:pPr>
      <w:r>
        <w:rPr>
          <w:rFonts w:ascii="Arial" w:cs="Arial" w:eastAsia="Arial" w:hAnsi="Arial"/>
        </w:rPr>
        <w:t xml:space="preserve">1.1 Deployment Scope</w:t>
      </w:r>
    </w:p>
    <w:p>
      <w:pPr>
        <w:pStyle w:val="ListParagraph"/>
        <w:numPr>
          <w:ilvl w:val="0"/>
          <w:numId w:val="2"/>
        </w:numPr>
        <w:spacing w:after="60"/>
      </w:pPr>
      <w:r>
        <w:rPr>
          <w:rFonts w:ascii="Arial" w:cs="Arial" w:eastAsia="Arial" w:hAnsi="Arial"/>
          <w:color w:val="2C2C2C"/>
          <w:sz w:val="20"/>
          <w:szCs w:val="20"/>
        </w:rPr>
        <w:t xml:space="preserve">Inbound: AI-assisted call handling for service scheduling, general inventory Q&amp;A, and appointment confirmation.</w:t>
      </w:r>
    </w:p>
    <w:p>
      <w:pPr>
        <w:pStyle w:val="ListParagraph"/>
        <w:numPr>
          <w:ilvl w:val="0"/>
          <w:numId w:val="2"/>
        </w:numPr>
        <w:spacing w:after="60"/>
      </w:pPr>
      <w:r>
        <w:rPr>
          <w:rFonts w:ascii="Arial" w:cs="Arial" w:eastAsia="Arial" w:hAnsi="Arial"/>
          <w:color w:val="2C2C2C"/>
          <w:sz w:val="20"/>
          <w:szCs w:val="20"/>
        </w:rPr>
        <w:t xml:space="preserve">Outbound: AI-driven service reminders and lead follow-up to PEWC-consented contacts only.</w:t>
      </w:r>
    </w:p>
    <w:p>
      <w:pPr>
        <w:pStyle w:val="ListParagraph"/>
        <w:numPr>
          <w:ilvl w:val="0"/>
          <w:numId w:val="2"/>
        </w:numPr>
        <w:spacing w:after="60"/>
      </w:pPr>
      <w:r>
        <w:rPr>
          <w:rFonts w:ascii="Arial" w:cs="Arial" w:eastAsia="Arial" w:hAnsi="Arial"/>
          <w:color w:val="2C2C2C"/>
          <w:sz w:val="20"/>
          <w:szCs w:val="20"/>
        </w:rPr>
        <w:t xml:space="preserve">SMS: A2P 10DLC-registered automated messaging for appointment confirmations and opt-in sequences.</w:t>
      </w:r>
    </w:p>
    <w:p>
      <w:pPr>
        <w:pStyle w:val="Heading3"/>
        <w:spacing w:before="200" w:after="120"/>
      </w:pPr>
      <w:r>
        <w:rPr>
          <w:rFonts w:ascii="Arial" w:cs="Arial" w:eastAsia="Arial" w:hAnsi="Arial"/>
        </w:rPr>
        <w:t xml:space="preserve">1.2 Principal Legal Vulnerabilities and Programmatic Mitigations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64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 Vector</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Statutory Exposure</w:t>
            </w:r>
          </w:p>
        </w:tc>
        <w:tc>
          <w:tcPr>
            <w:tcW w:type="dxa" w:w="46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Programmatic Control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TCPA / FCC-24-17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$500–$1,500 per unconsented AI-voice call; class-action multiplier</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PEWC cryptographically logged in Supabase consent_log; n8n gates every outbound Twilio dial against this table before any API call is made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CIPA §§ 632 / 632.7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$5,000 per unconsented recording; Smith v. LoanMe (2021) eliminates third-party defense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Mandatory IVR disclosure upon connection; webhook downgrades RetellAI data_storage_setting to basic_attributes_only upon denial, purging audio and transcript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CPRA ADMT (2026)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Mandatory pre-use notice, opt-out, and appeal for AI significant decisions</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System architecturally restricted to scheduling and Q&amp;A only; prohibited from financing, credit, or employment decisions; ADMT trigger not activated</w:t>
            </w:r>
          </w:p>
        </w:tc>
      </w:tr>
    </w:tbl>
    <w:p>
      <w:pPr>
        <w:spacing w:after="100"/>
      </w:pPr>
    </w:p>
    <w:p>
      <w:pPr>
        <w:spacing w:after="120"/>
      </w:pPr>
      <w:r>
        <w:rPr>
          <w:rFonts w:ascii="Arial" w:cs="Arial" w:eastAsia="Arial" w:hAnsi="Arial"/>
          <w:b w:val="false"/>
          <w:bCs w:val="false"/>
          <w:i w:val="false"/>
          <w:iCs w:val="false"/>
          <w:color w:val="2C2C2C"/>
          <w:sz w:val="22"/>
          <w:szCs w:val="22"/>
        </w:rPr>
        <w:t xml:space="preserve">Conclusion: There are no fatal legal blockers for the core operational use cases of service scheduling, lead follow-up, and general inventory inquiry. The system is certified as legally defensible, subject to the administrative gap remediations specified in Section 15.</w:t>
      </w:r>
    </w:p>
    <w:p>
      <w:pPr>
        <w:pStyle w:val="Heading1"/>
        <w:spacing w:before="360" w:after="200"/>
      </w:pPr>
      <w:r>
        <w:rPr>
          <w:rFonts w:ascii="Arial" w:cs="Arial" w:eastAsia="Arial" w:hAnsi="Arial"/>
        </w:rPr>
        <w:t xml:space="preserve">2. Attorney Brief: Critical Legal Issues Summary</w:t>
      </w:r>
    </w:p>
    <w:p>
      <w:pPr>
        <w:spacing w:after="120"/>
      </w:pPr>
      <w:r>
        <w:rPr>
          <w:rFonts w:ascii="Arial" w:cs="Arial" w:eastAsia="Arial" w:hAnsi="Arial"/>
          <w:b w:val="false"/>
          <w:bCs w:val="false"/>
          <w:i w:val="false"/>
          <w:iCs w:val="false"/>
          <w:color w:val="2C2C2C"/>
          <w:sz w:val="22"/>
          <w:szCs w:val="22"/>
        </w:rPr>
        <w:t xml:space="preserve">This brief provides a rapid executive orientation for outside or internal counsel. Each issue is cross-referenced to its controlling primary authority and the technical control that mitigates it.</w:t>
      </w:r>
    </w:p>
    <w:p>
      <w:pPr>
        <w:pStyle w:val="Heading2"/>
        <w:spacing w:before="280" w:after="160"/>
      </w:pPr>
      <w:r>
        <w:rPr>
          <w:rFonts w:ascii="Arial" w:cs="Arial" w:eastAsia="Arial" w:hAnsi="Arial"/>
        </w:rPr>
        <w:t xml:space="preserve">2.1 TCPA and FCC Artificial Voice Regulations</w:t>
      </w:r>
    </w:p>
    <w:p>
      <w:pPr>
        <w:spacing w:after="80"/>
      </w:pPr>
      <w:r>
        <w:rPr>
          <w:rFonts w:ascii="Arial" w:cs="Arial" w:eastAsia="Arial" w:hAnsi="Arial"/>
          <w:b/>
          <w:bCs/>
          <w:color w:val="2C2C2C"/>
          <w:sz w:val="22"/>
          <w:szCs w:val="22"/>
        </w:rPr>
        <w:t xml:space="preserve">Controlling Authority: </w:t>
      </w:r>
      <w:r>
        <w:rPr>
          <w:rFonts w:ascii="Arial" w:cs="Arial" w:eastAsia="Arial" w:hAnsi="Arial"/>
          <w:color w:val="2C2C2C"/>
          <w:sz w:val="22"/>
          <w:szCs w:val="22"/>
        </w:rPr>
        <w:t xml:space="preserve">47 U.S.C. § 227(b)(1); FCC Declaratory Ruling FCC-24-17 (February 2024).</w:t>
      </w:r>
    </w:p>
    <w:p>
      <w:pPr>
        <w:spacing w:after="120"/>
      </w:pPr>
      <w:r>
        <w:rPr>
          <w:rFonts w:ascii="Arial" w:cs="Arial" w:eastAsia="Arial" w:hAnsi="Arial"/>
          <w:b w:val="false"/>
          <w:bCs w:val="false"/>
          <w:i w:val="false"/>
          <w:iCs w:val="false"/>
          <w:color w:val="2C2C2C"/>
          <w:sz w:val="22"/>
          <w:szCs w:val="22"/>
        </w:rPr>
        <w:t xml:space="preserve">In February 2024, the FCC issued FCC-24-17, officially classifying AI-generated voice clones and computational text-to-speech systems as artificial or prerecorded voices within the meaning of 47 U.S.C. § 227(b)(1). This ruling brings the entirety of the RetellAI voice synthesis stack within the TCPA’s regulatory perimeter.</w:t>
      </w:r>
    </w:p>
    <w:p>
      <w:pPr>
        <w:spacing w:after="120"/>
      </w:pPr>
      <w:r>
        <w:rPr>
          <w:rFonts w:ascii="Arial" w:cs="Arial" w:eastAsia="Arial" w:hAnsi="Arial"/>
          <w:b w:val="false"/>
          <w:bCs w:val="false"/>
          <w:i w:val="false"/>
          <w:iCs w:val="false"/>
          <w:color w:val="2C2C2C"/>
          <w:sz w:val="22"/>
          <w:szCs w:val="22"/>
        </w:rPr>
        <w:t xml:space="preserve">All outbound marketing and service calls executed through this system require Prior Express Written Consent (PEWC) from the called party. Statutory damages remain $500 per violation, trebled to $1,500 per willful violation, creating catastrophic class-action exposure.</w:t>
      </w:r>
    </w:p>
    <w:p>
      <w:pPr>
        <w:spacing w:after="80"/>
      </w:pPr>
      <w:r>
        <w:rPr>
          <w:rFonts w:ascii="Arial" w:cs="Arial" w:eastAsia="Arial" w:hAnsi="Arial"/>
          <w:b/>
          <w:bCs/>
          <w:color w:val="2C2C2C"/>
          <w:sz w:val="22"/>
          <w:szCs w:val="22"/>
        </w:rPr>
        <w:t xml:space="preserve">Regulatory Update (January 2026): </w:t>
      </w:r>
      <w:r>
        <w:rPr>
          <w:rFonts w:ascii="Arial" w:cs="Arial" w:eastAsia="Arial" w:hAnsi="Arial"/>
          <w:color w:val="2C2C2C"/>
          <w:sz w:val="22"/>
          <w:szCs w:val="22"/>
        </w:rPr>
        <w:t xml:space="preserve">The FCC’s proposed one-to-one consent rule, which would have required individualized seller-specific consent for each lead generator transaction, was vacated by the Eleventh Circuit Court of Appeals on January 26, 2025. The rule is no longer in effect. However, this ruling does not diminish the PEWC requirement for direct-seller AI-voice calls. This system maintains the conservative posture of securing direct, seller-specific consent for all outbound calls.</w:t>
      </w:r>
    </w:p>
    <w:p>
      <w:pPr>
        <w:spacing w:after="80"/>
      </w:pPr>
      <w:r>
        <w:rPr>
          <w:rFonts w:ascii="Arial" w:cs="Arial" w:eastAsia="Arial" w:hAnsi="Arial"/>
          <w:b/>
          <w:bCs/>
          <w:color w:val="2C2C2C"/>
          <w:sz w:val="22"/>
          <w:szCs w:val="22"/>
        </w:rPr>
        <w:t xml:space="preserve">Control Status: </w:t>
      </w:r>
      <w:r>
        <w:rPr>
          <w:rFonts w:ascii="Arial" w:cs="Arial" w:eastAsia="Arial" w:hAnsi="Arial"/>
          <w:color w:val="2C2C2C"/>
          <w:sz w:val="22"/>
          <w:szCs w:val="22"/>
        </w:rPr>
        <w:t xml:space="preserve">[Implemented and Verified]</w:t>
      </w:r>
    </w:p>
    <w:p>
      <w:pPr>
        <w:pStyle w:val="Heading2"/>
        <w:spacing w:before="280" w:after="160"/>
      </w:pPr>
      <w:r>
        <w:rPr>
          <w:rFonts w:ascii="Arial" w:cs="Arial" w:eastAsia="Arial" w:hAnsi="Arial"/>
        </w:rPr>
        <w:t xml:space="preserve">2.2 California Invasion of Privacy Act (CIPA)</w:t>
      </w:r>
    </w:p>
    <w:p>
      <w:pPr>
        <w:spacing w:after="80"/>
      </w:pPr>
      <w:r>
        <w:rPr>
          <w:rFonts w:ascii="Arial" w:cs="Arial" w:eastAsia="Arial" w:hAnsi="Arial"/>
          <w:b/>
          <w:bCs/>
          <w:color w:val="2C2C2C"/>
          <w:sz w:val="22"/>
          <w:szCs w:val="22"/>
        </w:rPr>
        <w:t xml:space="preserve">Controlling Authority: </w:t>
      </w:r>
      <w:r>
        <w:rPr>
          <w:rFonts w:ascii="Arial" w:cs="Arial" w:eastAsia="Arial" w:hAnsi="Arial"/>
          <w:color w:val="2C2C2C"/>
          <w:sz w:val="22"/>
          <w:szCs w:val="22"/>
        </w:rPr>
        <w:t xml:space="preserve">Cal. Penal Code §§ 632, 632.7; Smith v. LoanMe, Inc., 11 Cal. 5th 183 (2021).</w:t>
      </w:r>
    </w:p>
    <w:p>
      <w:pPr>
        <w:spacing w:after="120"/>
      </w:pPr>
      <w:r>
        <w:rPr>
          <w:rFonts w:ascii="Arial" w:cs="Arial" w:eastAsia="Arial" w:hAnsi="Arial"/>
          <w:b w:val="false"/>
          <w:bCs w:val="false"/>
          <w:i w:val="false"/>
          <w:iCs w:val="false"/>
          <w:color w:val="2C2C2C"/>
          <w:sz w:val="22"/>
          <w:szCs w:val="22"/>
        </w:rPr>
        <w:t xml:space="preserve">California Penal Code § 632.7 mandates the affirmative consent of all parties to record a cellular telephone communication. The California Supreme Court’s 2021 ruling in Smith v. LoanMe eliminated the historical party-to-the-call defense, confirming that § 632.7 applies to the actual participants in the call. Because § 632.7 imposes liability regardless of any expectation of privacy, any AI-driven call that records a California resident without express disclosure creates a $5,000-per-incident liability exposure under Cal. Penal Code § 637.2.</w:t>
      </w:r>
    </w:p>
    <w:p>
      <w:pPr>
        <w:spacing w:after="120"/>
      </w:pPr>
      <w:r>
        <w:rPr>
          <w:rFonts w:ascii="Arial" w:cs="Arial" w:eastAsia="Arial" w:hAnsi="Arial"/>
          <w:b w:val="false"/>
          <w:bCs w:val="false"/>
          <w:i w:val="false"/>
          <w:iCs w:val="false"/>
          <w:color w:val="2C2C2C"/>
          <w:sz w:val="22"/>
          <w:szCs w:val="22"/>
        </w:rPr>
        <w:t xml:space="preserve">The deployed system implements mandatory IVR recording disclosure upon connection and a webhook-gated non-consent workflow that dynamically purges recordings and transcripts if a caller denies consent.</w:t>
      </w:r>
    </w:p>
    <w:p>
      <w:pPr>
        <w:spacing w:after="80"/>
      </w:pPr>
      <w:r>
        <w:rPr>
          <w:rFonts w:ascii="Arial" w:cs="Arial" w:eastAsia="Arial" w:hAnsi="Arial"/>
          <w:b/>
          <w:bCs/>
          <w:color w:val="2C2C2C"/>
          <w:sz w:val="22"/>
          <w:szCs w:val="22"/>
        </w:rPr>
        <w:t xml:space="preserve">Control Status: </w:t>
      </w:r>
      <w:r>
        <w:rPr>
          <w:rFonts w:ascii="Arial" w:cs="Arial" w:eastAsia="Arial" w:hAnsi="Arial"/>
          <w:color w:val="2C2C2C"/>
          <w:sz w:val="22"/>
          <w:szCs w:val="22"/>
        </w:rPr>
        <w:t xml:space="preserve">[Implemented and Verified]</w:t>
      </w:r>
    </w:p>
    <w:p>
      <w:pPr>
        <w:pStyle w:val="Heading2"/>
        <w:spacing w:before="280" w:after="160"/>
      </w:pPr>
      <w:r>
        <w:rPr>
          <w:rFonts w:ascii="Arial" w:cs="Arial" w:eastAsia="Arial" w:hAnsi="Arial"/>
        </w:rPr>
        <w:t xml:space="preserve">2.3 FTC Deception and AI Identification Mandates</w:t>
      </w:r>
    </w:p>
    <w:p>
      <w:pPr>
        <w:spacing w:after="80"/>
      </w:pPr>
      <w:r>
        <w:rPr>
          <w:rFonts w:ascii="Arial" w:cs="Arial" w:eastAsia="Arial" w:hAnsi="Arial"/>
          <w:b/>
          <w:bCs/>
          <w:color w:val="2C2C2C"/>
          <w:sz w:val="22"/>
          <w:szCs w:val="22"/>
        </w:rPr>
        <w:t xml:space="preserve">Controlling Authority: </w:t>
      </w:r>
      <w:r>
        <w:rPr>
          <w:rFonts w:ascii="Arial" w:cs="Arial" w:eastAsia="Arial" w:hAnsi="Arial"/>
          <w:color w:val="2C2C2C"/>
          <w:sz w:val="22"/>
          <w:szCs w:val="22"/>
        </w:rPr>
        <w:t xml:space="preserve">15 U.S.C. § 45; FTC Operation AI Comply (September 2024).</w:t>
      </w:r>
    </w:p>
    <w:p>
      <w:pPr>
        <w:spacing w:after="120"/>
      </w:pPr>
      <w:r>
        <w:rPr>
          <w:rFonts w:ascii="Arial" w:cs="Arial" w:eastAsia="Arial" w:hAnsi="Arial"/>
          <w:b w:val="false"/>
          <w:bCs w:val="false"/>
          <w:i w:val="false"/>
          <w:iCs w:val="false"/>
          <w:color w:val="2C2C2C"/>
          <w:sz w:val="22"/>
          <w:szCs w:val="22"/>
        </w:rPr>
        <w:t xml:space="preserve">The FTC’s Operation AI Comply initiative establishes that businesses must not deceive consumers regarding whether they are interacting with a human or an automated system. The RetellAI agent is programmatically constrained via hard-coded system prompt instructions to identify itself as an AI virtual assistant in the first sentence of every interaction. This disclosure is not operator-configurable at runtime.</w:t>
      </w:r>
    </w:p>
    <w:p>
      <w:pPr>
        <w:spacing w:after="80"/>
      </w:pPr>
      <w:r>
        <w:rPr>
          <w:rFonts w:ascii="Arial" w:cs="Arial" w:eastAsia="Arial" w:hAnsi="Arial"/>
          <w:b/>
          <w:bCs/>
          <w:color w:val="2C2C2C"/>
          <w:sz w:val="22"/>
          <w:szCs w:val="22"/>
        </w:rPr>
        <w:t xml:space="preserve">Control Status: </w:t>
      </w:r>
      <w:r>
        <w:rPr>
          <w:rFonts w:ascii="Arial" w:cs="Arial" w:eastAsia="Arial" w:hAnsi="Arial"/>
          <w:color w:val="2C2C2C"/>
          <w:sz w:val="22"/>
          <w:szCs w:val="22"/>
        </w:rPr>
        <w:t xml:space="preserve">[Implemented and Verified]</w:t>
      </w:r>
    </w:p>
    <w:p>
      <w:pPr>
        <w:pStyle w:val="Heading2"/>
        <w:spacing w:before="280" w:after="160"/>
      </w:pPr>
      <w:r>
        <w:rPr>
          <w:rFonts w:ascii="Arial" w:cs="Arial" w:eastAsia="Arial" w:hAnsi="Arial"/>
        </w:rPr>
        <w:t xml:space="preserve">2.4 CPRA Automated Decision-Making Technology (ADMT)</w:t>
      </w:r>
    </w:p>
    <w:p>
      <w:pPr>
        <w:spacing w:after="80"/>
      </w:pPr>
      <w:r>
        <w:rPr>
          <w:rFonts w:ascii="Arial" w:cs="Arial" w:eastAsia="Arial" w:hAnsi="Arial"/>
          <w:b/>
          <w:bCs/>
          <w:color w:val="2C2C2C"/>
          <w:sz w:val="22"/>
          <w:szCs w:val="22"/>
        </w:rPr>
        <w:t xml:space="preserve">Controlling Authority: </w:t>
      </w:r>
      <w:r>
        <w:rPr>
          <w:rFonts w:ascii="Arial" w:cs="Arial" w:eastAsia="Arial" w:hAnsi="Arial"/>
          <w:color w:val="2C2C2C"/>
          <w:sz w:val="22"/>
          <w:szCs w:val="22"/>
        </w:rPr>
        <w:t xml:space="preserve">Cal. Civ. Code § 1798.185; 11 C.C.R. § 7000 et seq. (CPPA regulations finalized September 2025, effective January 1, 2026; full ADMT-specific compliance deadline April 1, 2027).</w:t>
      </w:r>
    </w:p>
    <w:p>
      <w:pPr>
        <w:spacing w:after="120"/>
      </w:pPr>
      <w:r>
        <w:rPr>
          <w:rFonts w:ascii="Arial" w:cs="Arial" w:eastAsia="Arial" w:hAnsi="Arial"/>
          <w:b w:val="false"/>
          <w:bCs w:val="false"/>
          <w:i w:val="false"/>
          <w:iCs w:val="false"/>
          <w:color w:val="2C2C2C"/>
          <w:sz w:val="22"/>
          <w:szCs w:val="22"/>
        </w:rPr>
        <w:t xml:space="preserve">The CPPA finalized ADMT regulations in September 2025, requiring comprehensive pre-use notices, opt-out mechanisms, and consumer appeal processes whenever an AI system executes significant decisions concerning a consumer, defined to include financing, credit, housing, and employment determinations.</w:t>
      </w:r>
    </w:p>
    <w:p>
      <w:pPr>
        <w:spacing w:after="120"/>
      </w:pPr>
      <w:r>
        <w:rPr>
          <w:rFonts w:ascii="Arial" w:cs="Arial" w:eastAsia="Arial" w:hAnsi="Arial"/>
          <w:b w:val="false"/>
          <w:bCs w:val="false"/>
          <w:i w:val="false"/>
          <w:iCs w:val="false"/>
          <w:color w:val="2C2C2C"/>
          <w:sz w:val="22"/>
          <w:szCs w:val="22"/>
        </w:rPr>
        <w:t xml:space="preserve">The deployed system is technically exempt from these obligations because the AI is architecturally prohibited from generating credit approvals, financing terms, or employment decisions. The AI operates exclusively within the permitted scope of inbound service scheduling, outbound appointment confirmation, and general inventory Q&amp;A. Any consumer attempt to obtain financing guidance is redirected to a human finance manager.</w:t>
      </w:r>
    </w:p>
    <w:p>
      <w:pPr>
        <w:pStyle w:val="Heading3"/>
        <w:spacing w:before="200" w:after="120"/>
      </w:pPr>
      <w:r>
        <w:rPr>
          <w:rFonts w:ascii="Arial" w:cs="Arial" w:eastAsia="Arial" w:hAnsi="Arial"/>
        </w:rPr>
        <w:t xml:space="preserve">ADMT Gray Zone Analysis</w:t>
      </w:r>
    </w:p>
    <w:p>
      <w:pPr>
        <w:spacing w:after="120"/>
      </w:pPr>
      <w:r>
        <w:rPr>
          <w:rFonts w:ascii="Arial" w:cs="Arial" w:eastAsia="Arial" w:hAnsi="Arial"/>
          <w:b w:val="false"/>
          <w:bCs w:val="false"/>
          <w:i w:val="false"/>
          <w:iCs w:val="false"/>
          <w:color w:val="2C2C2C"/>
          <w:sz w:val="22"/>
          <w:szCs w:val="22"/>
        </w:rPr>
        <w:t xml:space="preserve">Three potential gray zones were assessed:</w:t>
      </w:r>
    </w:p>
    <w:p>
      <w:pPr>
        <w:pStyle w:val="ListParagraph"/>
        <w:numPr>
          <w:ilvl w:val="0"/>
          <w:numId w:val="2"/>
        </w:numPr>
        <w:spacing w:after="60"/>
      </w:pPr>
      <w:r>
        <w:rPr>
          <w:rFonts w:ascii="Arial" w:cs="Arial" w:eastAsia="Arial" w:hAnsi="Arial"/>
          <w:color w:val="2C2C2C"/>
          <w:sz w:val="20"/>
          <w:szCs w:val="20"/>
        </w:rPr>
        <w:t xml:space="preserve">AI deciding to escalate to a human: This is a routing decision, not a significant decision. It does not affect financing, credit, housing, or employment. No ADMT trigger.</w:t>
      </w:r>
    </w:p>
    <w:p>
      <w:pPr>
        <w:pStyle w:val="ListParagraph"/>
        <w:numPr>
          <w:ilvl w:val="0"/>
          <w:numId w:val="2"/>
        </w:numPr>
        <w:spacing w:after="60"/>
      </w:pPr>
      <w:r>
        <w:rPr>
          <w:rFonts w:ascii="Arial" w:cs="Arial" w:eastAsia="Arial" w:hAnsi="Arial"/>
          <w:color w:val="2C2C2C"/>
          <w:sz w:val="20"/>
          <w:szCs w:val="20"/>
        </w:rPr>
        <w:t xml:space="preserve">AI classifying a lead as appointment booked versus callback requested: This is data categorization within the permitted scope of scheduling. It does not produce a significant decision affecting the consumer. No ADMT trigger.</w:t>
      </w:r>
    </w:p>
    <w:p>
      <w:pPr>
        <w:pStyle w:val="ListParagraph"/>
        <w:numPr>
          <w:ilvl w:val="0"/>
          <w:numId w:val="2"/>
        </w:numPr>
        <w:spacing w:after="60"/>
      </w:pPr>
      <w:r>
        <w:rPr>
          <w:rFonts w:ascii="Arial" w:cs="Arial" w:eastAsia="Arial" w:hAnsi="Arial"/>
          <w:color w:val="2C2C2C"/>
          <w:sz w:val="20"/>
          <w:szCs w:val="20"/>
        </w:rPr>
        <w:t xml:space="preserve">Outbound selection logic for consented contacts: Selecting which consented contacts to call is operational sequencing, not a significant decision. All outbound contacts have valid PEWC. No ADMT trigger.</w:t>
      </w:r>
    </w:p>
    <w:p>
      <w:pPr>
        <w:spacing w:after="80"/>
      </w:pPr>
      <w:r>
        <w:rPr>
          <w:rFonts w:ascii="Arial" w:cs="Arial" w:eastAsia="Arial" w:hAnsi="Arial"/>
          <w:b/>
          <w:bCs/>
          <w:color w:val="2C2C2C"/>
          <w:sz w:val="22"/>
          <w:szCs w:val="22"/>
        </w:rPr>
        <w:t xml:space="preserve">Conservative Recommendation: </w:t>
      </w:r>
      <w:r>
        <w:rPr>
          <w:rFonts w:ascii="Arial" w:cs="Arial" w:eastAsia="Arial" w:hAnsi="Arial"/>
          <w:color w:val="2C2C2C"/>
          <w:sz w:val="22"/>
          <w:szCs w:val="22"/>
        </w:rPr>
        <w:t xml:space="preserve">Continue to restrict the AI’s scope to scheduling, Q&amp;A, and lead intake. Monitor CPPA enforcement actions and guidance for any expansion of the significant decision definition. If the AI’s scope is ever expanded to include financing or credit recommendations, full ADMT compliance must be implemented before deployment.</w:t>
      </w:r>
    </w:p>
    <w:p>
      <w:pPr>
        <w:spacing w:after="80"/>
      </w:pPr>
      <w:r>
        <w:rPr>
          <w:rFonts w:ascii="Arial" w:cs="Arial" w:eastAsia="Arial" w:hAnsi="Arial"/>
          <w:b/>
          <w:bCs/>
          <w:color w:val="2C2C2C"/>
          <w:sz w:val="22"/>
          <w:szCs w:val="22"/>
        </w:rPr>
        <w:t xml:space="preserve">Control Status: </w:t>
      </w:r>
      <w:r>
        <w:rPr>
          <w:rFonts w:ascii="Arial" w:cs="Arial" w:eastAsia="Arial" w:hAnsi="Arial"/>
          <w:color w:val="2C2C2C"/>
          <w:sz w:val="22"/>
          <w:szCs w:val="22"/>
        </w:rPr>
        <w:t xml:space="preserve">[Implemented and Verified — Architectural Bypass]</w:t>
      </w:r>
    </w:p>
    <w:p>
      <w:pPr>
        <w:pStyle w:val="Heading2"/>
        <w:spacing w:before="280" w:after="160"/>
      </w:pPr>
      <w:r>
        <w:rPr>
          <w:rFonts w:ascii="Arial" w:cs="Arial" w:eastAsia="Arial" w:hAnsi="Arial"/>
        </w:rPr>
        <w:t xml:space="preserve">2.5 California SB 446 — Data Breach Notification</w:t>
      </w:r>
    </w:p>
    <w:p>
      <w:pPr>
        <w:spacing w:after="80"/>
      </w:pPr>
      <w:r>
        <w:rPr>
          <w:rFonts w:ascii="Arial" w:cs="Arial" w:eastAsia="Arial" w:hAnsi="Arial"/>
          <w:b/>
          <w:bCs/>
          <w:color w:val="2C2C2C"/>
          <w:sz w:val="22"/>
          <w:szCs w:val="22"/>
        </w:rPr>
        <w:t xml:space="preserve">Controlling Authority: </w:t>
      </w:r>
      <w:r>
        <w:rPr>
          <w:rFonts w:ascii="Arial" w:cs="Arial" w:eastAsia="Arial" w:hAnsi="Arial"/>
          <w:color w:val="2C2C2C"/>
          <w:sz w:val="22"/>
          <w:szCs w:val="22"/>
        </w:rPr>
        <w:t xml:space="preserve">Cal. Civ. Code § 1798.82, as amended by SB 446 (effective January 1, 2026).</w:t>
      </w:r>
    </w:p>
    <w:p>
      <w:pPr>
        <w:spacing w:after="120"/>
      </w:pPr>
      <w:r>
        <w:rPr>
          <w:rFonts w:ascii="Arial" w:cs="Arial" w:eastAsia="Arial" w:hAnsi="Arial"/>
          <w:b w:val="false"/>
          <w:bCs w:val="false"/>
          <w:i w:val="false"/>
          <w:iCs w:val="false"/>
          <w:color w:val="2C2C2C"/>
          <w:sz w:val="22"/>
          <w:szCs w:val="22"/>
        </w:rPr>
        <w:t xml:space="preserve">SB 446 replaced the prior without unreasonable delay standard with a strict 30-calendar-day notification window for consumer notice of a data breach, and a separate 15-calendar-day window for Attorney General notification when the breach affects more than 500 California residents. The Incident Response Plan has been updated to reflect these non-negotiable statutory deadlines.</w:t>
      </w:r>
    </w:p>
    <w:p>
      <w:pPr>
        <w:spacing w:after="80"/>
      </w:pPr>
      <w:r>
        <w:rPr>
          <w:rFonts w:ascii="Arial" w:cs="Arial" w:eastAsia="Arial" w:hAnsi="Arial"/>
          <w:b/>
          <w:bCs/>
          <w:color w:val="2C2C2C"/>
          <w:sz w:val="22"/>
          <w:szCs w:val="22"/>
        </w:rPr>
        <w:t xml:space="preserve">Control Status: </w:t>
      </w:r>
      <w:r>
        <w:rPr>
          <w:rFonts w:ascii="Arial" w:cs="Arial" w:eastAsia="Arial" w:hAnsi="Arial"/>
          <w:color w:val="2C2C2C"/>
          <w:sz w:val="22"/>
          <w:szCs w:val="22"/>
        </w:rPr>
        <w:t xml:space="preserve">[Implemented and Verified]</w:t>
      </w:r>
    </w:p>
    <w:p>
      <w:pPr>
        <w:pStyle w:val="Heading2"/>
        <w:spacing w:before="280" w:after="160"/>
      </w:pPr>
      <w:r>
        <w:rPr>
          <w:rFonts w:ascii="Arial" w:cs="Arial" w:eastAsia="Arial" w:hAnsi="Arial"/>
        </w:rPr>
        <w:t xml:space="preserve">2.6 OEM Security Mandate — Mercedes-Benz USA</w:t>
      </w:r>
    </w:p>
    <w:p>
      <w:pPr>
        <w:spacing w:after="80"/>
      </w:pPr>
      <w:r>
        <w:rPr>
          <w:rFonts w:ascii="Arial" w:cs="Arial" w:eastAsia="Arial" w:hAnsi="Arial"/>
          <w:b/>
          <w:bCs/>
          <w:color w:val="2C2C2C"/>
          <w:sz w:val="22"/>
          <w:szCs w:val="22"/>
        </w:rPr>
        <w:t xml:space="preserve">Controlling Authority: </w:t>
      </w:r>
      <w:r>
        <w:rPr>
          <w:rFonts w:ascii="Arial" w:cs="Arial" w:eastAsia="Arial" w:hAnsi="Arial"/>
          <w:color w:val="2C2C2C"/>
          <w:sz w:val="22"/>
          <w:szCs w:val="22"/>
        </w:rPr>
        <w:t xml:space="preserve">Mercedes-Benz USA NP.50.14.110 Information Security Requirements (August 2023); TISAX Level 2 Assessment Protocol.</w:t>
      </w:r>
    </w:p>
    <w:p>
      <w:pPr>
        <w:spacing w:after="120"/>
      </w:pPr>
      <w:r>
        <w:rPr>
          <w:rFonts w:ascii="Arial" w:cs="Arial" w:eastAsia="Arial" w:hAnsi="Arial"/>
          <w:b w:val="false"/>
          <w:bCs w:val="false"/>
          <w:i w:val="false"/>
          <w:iCs w:val="false"/>
          <w:color w:val="2C2C2C"/>
          <w:sz w:val="22"/>
          <w:szCs w:val="22"/>
        </w:rPr>
        <w:t xml:space="preserve">Mercedes-Benz USA mandates that all franchised dealerships achieve ISO/IEC 27001 certification or TISAX Level 2 assessment for their Information Security Management Systems (ISMS) by September 30, 2026. The vendor configurations documented herein, relying on SOC 2 Type II attestations from Twilio, RetellAI, n8n, Supabase, and Google, constitute foundational evidentiary artifacts for the dealership’s overarching OEM audit.</w:t>
      </w:r>
    </w:p>
    <w:p>
      <w:pPr>
        <w:spacing w:after="80"/>
      </w:pPr>
      <w:r>
        <w:rPr>
          <w:rFonts w:ascii="Arial" w:cs="Arial" w:eastAsia="Arial" w:hAnsi="Arial"/>
          <w:b/>
          <w:bCs/>
          <w:color w:val="2C2C2C"/>
          <w:sz w:val="22"/>
          <w:szCs w:val="22"/>
        </w:rPr>
        <w:t xml:space="preserve">Critical Distinction: </w:t>
      </w:r>
      <w:r>
        <w:rPr>
          <w:rFonts w:ascii="Arial" w:cs="Arial" w:eastAsia="Arial" w:hAnsi="Arial"/>
          <w:color w:val="2C2C2C"/>
          <w:sz w:val="22"/>
          <w:szCs w:val="22"/>
        </w:rPr>
        <w:t xml:space="preserve">Vendor SOC 2 reports are not a substitute for the entity-level ISMS audit. The dealership must commission the TISAX external plausibility check separately.</w:t>
      </w:r>
    </w:p>
    <w:p>
      <w:pPr>
        <w:spacing w:after="80"/>
      </w:pPr>
      <w:r>
        <w:rPr>
          <w:rFonts w:ascii="Arial" w:cs="Arial" w:eastAsia="Arial" w:hAnsi="Arial"/>
          <w:b/>
          <w:bCs/>
          <w:color w:val="2C2C2C"/>
          <w:sz w:val="22"/>
          <w:szCs w:val="22"/>
        </w:rPr>
        <w:t xml:space="preserve">Control Status: </w:t>
      </w:r>
      <w:r>
        <w:rPr>
          <w:rFonts w:ascii="Arial" w:cs="Arial" w:eastAsia="Arial" w:hAnsi="Arial"/>
          <w:color w:val="2C2C2C"/>
          <w:sz w:val="22"/>
          <w:szCs w:val="22"/>
        </w:rPr>
        <w:t xml:space="preserve">[Implemented but Evidence Needed — Dealership Action Required]</w:t>
      </w:r>
    </w:p>
    <w:p>
      <w:pPr>
        <w:pStyle w:val="Heading1"/>
        <w:spacing w:before="360" w:after="200"/>
      </w:pPr>
      <w:r>
        <w:rPr>
          <w:rFonts w:ascii="Arial" w:cs="Arial" w:eastAsia="Arial" w:hAnsi="Arial"/>
        </w:rPr>
        <w:t xml:space="preserve">3. Dealership Counsel Compliance Checklist</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624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Legal Requirement</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Implemented Control /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TCPA / FCC-24-17 (AI Voice)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 YES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18"/>
                <w:szCs w:val="18"/>
              </w:rPr>
              <w:t xml:space="preserve">[Implemented and Verified] </w:t>
            </w:r>
            <w:r>
              <w:rPr>
                <w:rFonts w:ascii="Arial" w:cs="Arial" w:eastAsia="Arial" w:hAnsi="Arial"/>
                <w:b w:val="false"/>
                <w:bCs w:val="false"/>
                <w:color w:val="2C2C2C"/>
                <w:sz w:val="20"/>
                <w:szCs w:val="20"/>
              </w:rPr>
              <w:t xml:space="preserve">Web form PEWC collection enforced; opt-in timestamp, IP, and exact disclosure text logged immutably in Supabase consent_log; n8n queries this table prior to every outbound Twilio dial trigger.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CIPA § 632 / § 632.7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 YES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18"/>
                <w:szCs w:val="18"/>
              </w:rPr>
              <w:t xml:space="preserve">[Implemented and Verified] </w:t>
            </w:r>
            <w:r>
              <w:rPr>
                <w:rFonts w:ascii="Arial" w:cs="Arial" w:eastAsia="Arial" w:hAnsi="Arial"/>
                <w:b w:val="false"/>
                <w:bCs w:val="false"/>
                <w:color w:val="2C2C2C"/>
                <w:sz w:val="20"/>
                <w:szCs w:val="20"/>
              </w:rPr>
              <w:t xml:space="preserve">IVR script requires affirmative consent upon connection; non-consent triggers basic_attributes_only setting in RetellAI API, purging audio and transcript retroactively post-call.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CTIA / A2P 10DLC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 YES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18"/>
                <w:szCs w:val="18"/>
              </w:rPr>
              <w:t xml:space="preserve">[Implemented and Verified] </w:t>
            </w:r>
            <w:r>
              <w:rPr>
                <w:rFonts w:ascii="Arial" w:cs="Arial" w:eastAsia="Arial" w:hAnsi="Arial"/>
                <w:b w:val="false"/>
                <w:bCs w:val="false"/>
                <w:color w:val="2C2C2C"/>
                <w:sz w:val="20"/>
                <w:szCs w:val="20"/>
              </w:rPr>
              <w:t xml:space="preserve">Twilio Standard Brand registered via dealership EIN; messaging mapped to authorized Customer Care use-case; Advanced Opt-Out processes STOP natively at carrier level.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FTC Deception / Bot Disclosure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 YES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18"/>
                <w:szCs w:val="18"/>
              </w:rPr>
              <w:t xml:space="preserve">[Implemented and Verified] </w:t>
            </w:r>
            <w:r>
              <w:rPr>
                <w:rFonts w:ascii="Arial" w:cs="Arial" w:eastAsia="Arial" w:hAnsi="Arial"/>
                <w:b w:val="false"/>
                <w:bCs w:val="false"/>
                <w:color w:val="2C2C2C"/>
                <w:sz w:val="20"/>
                <w:szCs w:val="20"/>
              </w:rPr>
              <w:t xml:space="preserve">Agent system prompt hard-codes identity disclosure: I am the AI virtual assistant for Mercedes of South Bay in the first sentence of every interaction.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CCPA/CPRA Data Minimization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 YES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18"/>
                <w:szCs w:val="18"/>
              </w:rPr>
              <w:t xml:space="preserve">[Implemented and Verified] </w:t>
            </w:r>
            <w:r>
              <w:rPr>
                <w:rFonts w:ascii="Arial" w:cs="Arial" w:eastAsia="Arial" w:hAnsi="Arial"/>
                <w:b w:val="false"/>
                <w:bCs w:val="false"/>
                <w:color w:val="2C2C2C"/>
                <w:sz w:val="20"/>
                <w:szCs w:val="20"/>
              </w:rPr>
              <w:t xml:space="preserve">RetellAI PII redaction engine active (9 categories). n8n execution logs set to strict 30-day automatic purge.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CPRA Service Provider Contracts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 PARTIAL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[Required but Open] </w:t>
            </w:r>
            <w:r>
              <w:rPr>
                <w:rFonts w:ascii="Arial" w:cs="Arial" w:eastAsia="Arial" w:hAnsi="Arial"/>
                <w:b w:val="false"/>
                <w:bCs w:val="false"/>
                <w:color w:val="2C2C2C"/>
                <w:sz w:val="20"/>
                <w:szCs w:val="20"/>
              </w:rPr>
              <w:t xml:space="preserve">Cal. Civ. Code § 1798.140(ag) clauses drafted for Twilio, RetellAI, and n8n DPAs. Formal countersignature execution in progress.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CPRA ADMT Pre-Use Notice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 N/A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18"/>
                <w:szCs w:val="18"/>
              </w:rPr>
              <w:t xml:space="preserve">[Implemented and Verified] </w:t>
            </w:r>
            <w:r>
              <w:rPr>
                <w:rFonts w:ascii="Arial" w:cs="Arial" w:eastAsia="Arial" w:hAnsi="Arial"/>
                <w:b w:val="false"/>
                <w:bCs w:val="false"/>
                <w:color w:val="2C2C2C"/>
                <w:sz w:val="20"/>
                <w:szCs w:val="20"/>
              </w:rPr>
              <w:t xml:space="preserve">System technically restricted from significant decisions (financing, credit); ADMT obligation not triggered. Full compliance deadline: April 1, 2027.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SB 446 Breach Notification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 YES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18"/>
                <w:szCs w:val="18"/>
              </w:rPr>
              <w:t xml:space="preserve">[Implemented and Verified] </w:t>
            </w:r>
            <w:r>
              <w:rPr>
                <w:rFonts w:ascii="Arial" w:cs="Arial" w:eastAsia="Arial" w:hAnsi="Arial"/>
                <w:b w:val="false"/>
                <w:bCs w:val="false"/>
                <w:color w:val="2C2C2C"/>
                <w:sz w:val="20"/>
                <w:szCs w:val="20"/>
              </w:rPr>
              <w:t xml:space="preserve">Internal Incident Response Plan updated to reflect 30-day consumer and 15-day AG notification deadlines; Supabase audit logs monitored.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Mercedes-Benz TISAX / ISO 27001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 PARTIAL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18"/>
                <w:szCs w:val="18"/>
              </w:rPr>
              <w:t xml:space="preserve">[Implemented but Evidence Needed] </w:t>
            </w:r>
            <w:r>
              <w:rPr>
                <w:rFonts w:ascii="Arial" w:cs="Arial" w:eastAsia="Arial" w:hAnsi="Arial"/>
                <w:b w:val="false"/>
                <w:bCs w:val="false"/>
                <w:color w:val="2C2C2C"/>
                <w:sz w:val="20"/>
                <w:szCs w:val="20"/>
              </w:rPr>
              <w:t xml:space="preserve">Vendors hold SOC 2 Type II; Vercel holds TISAX Level 2. Dealership must pursue entity-level OEM ISMS audit by September 30, 2026.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Google Zero Data Retention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 YES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18"/>
                <w:szCs w:val="18"/>
              </w:rPr>
              <w:t xml:space="preserve">[Implemented and Verified] </w:t>
            </w:r>
            <w:r>
              <w:rPr>
                <w:rFonts w:ascii="Arial" w:cs="Arial" w:eastAsia="Arial" w:hAnsi="Arial"/>
                <w:b w:val="false"/>
                <w:bCs w:val="false"/>
                <w:color w:val="2C2C2C"/>
                <w:sz w:val="20"/>
                <w:szCs w:val="20"/>
              </w:rPr>
              <w:t xml:space="preserve">Vertex AI / AI Studio ZDR form approved; prompt caching disabled.</w:t>
            </w:r>
          </w:p>
        </w:tc>
      </w:tr>
    </w:tbl>
    <w:p>
      <w:pPr>
        <w:pStyle w:val="Heading1"/>
        <w:spacing w:before="360" w:after="200"/>
      </w:pPr>
      <w:r>
        <w:rPr>
          <w:rFonts w:ascii="Arial" w:cs="Arial" w:eastAsia="Arial" w:hAnsi="Arial"/>
        </w:rPr>
        <w:t xml:space="preserve">4. Technical Enforcement of Statutory Mandates</w:t>
      </w:r>
    </w:p>
    <w:p>
      <w:pPr>
        <w:pStyle w:val="Heading2"/>
        <w:spacing w:before="280" w:after="160"/>
      </w:pPr>
      <w:r>
        <w:rPr>
          <w:rFonts w:ascii="Arial" w:cs="Arial" w:eastAsia="Arial" w:hAnsi="Arial"/>
        </w:rPr>
        <w:t xml:space="preserve">4.1 TCPA / FCC-24-17 — PEWC Cryptographic Consent Gating</w:t>
      </w:r>
    </w:p>
    <w:p>
      <w:pPr>
        <w:spacing w:after="80"/>
      </w:pPr>
      <w:r>
        <w:rPr>
          <w:rFonts w:ascii="Arial" w:cs="Arial" w:eastAsia="Arial" w:hAnsi="Arial"/>
          <w:b/>
          <w:bCs/>
          <w:color w:val="2C2C2C"/>
          <w:sz w:val="22"/>
          <w:szCs w:val="22"/>
        </w:rPr>
        <w:t xml:space="preserve">Statutory Mandate: </w:t>
      </w:r>
      <w:r>
        <w:rPr>
          <w:rFonts w:ascii="Arial" w:cs="Arial" w:eastAsia="Arial" w:hAnsi="Arial"/>
          <w:color w:val="2C2C2C"/>
          <w:sz w:val="22"/>
          <w:szCs w:val="22"/>
        </w:rPr>
        <w:t xml:space="preserve">47 U.S.C. § 227(b)(1); FCC-24-17. Prior Express Written Consent required for all outbound AI-voice calls.</w:t>
      </w:r>
    </w:p>
    <w:p>
      <w:pPr>
        <w:spacing w:after="120"/>
      </w:pPr>
      <w:r>
        <w:rPr>
          <w:rFonts w:ascii="Arial" w:cs="Arial" w:eastAsia="Arial" w:hAnsi="Arial"/>
          <w:b w:val="false"/>
          <w:bCs w:val="false"/>
          <w:i w:val="false"/>
          <w:iCs w:val="false"/>
          <w:color w:val="2C2C2C"/>
          <w:sz w:val="22"/>
          <w:szCs w:val="22"/>
        </w:rPr>
        <w:t xml:space="preserve">Compliance is not managed by internal policy or human review. It is enforced by a cryptographic gate: the n8n workflow automation engine queries the Supabase consent_log table before issuing any dial instruction to Twilio. If a verified PEWC record does not exist for the target phone number — inclusive of opt-in timestamp, IP, and the exact disclosure text presented to the consumer — the outbound call is blocked at the logic layer. The Twilio API is never reached.</w:t>
      </w:r>
    </w:p>
    <w:p>
      <w:pPr>
        <w:pStyle w:val="Heading3"/>
        <w:spacing w:before="200" w:after="120"/>
      </w:pPr>
      <w:r>
        <w:rPr>
          <w:rFonts w:ascii="Arial" w:cs="Arial" w:eastAsia="Arial" w:hAnsi="Arial"/>
        </w:rPr>
        <w:t xml:space="preserve">PEWC Record Requirements Stored in Supabase</w:t>
      </w:r>
    </w:p>
    <w:p>
      <w:pPr>
        <w:pStyle w:val="ListParagraph"/>
        <w:numPr>
          <w:ilvl w:val="0"/>
          <w:numId w:val="2"/>
        </w:numPr>
        <w:spacing w:after="60"/>
      </w:pPr>
      <w:r>
        <w:rPr>
          <w:rFonts w:ascii="Arial" w:cs="Arial" w:eastAsia="Arial" w:hAnsi="Arial"/>
          <w:color w:val="2C2C2C"/>
          <w:sz w:val="20"/>
          <w:szCs w:val="20"/>
        </w:rPr>
        <w:t xml:space="preserve">phone_number: E.164-formatted target number</w:t>
      </w:r>
    </w:p>
    <w:p>
      <w:pPr>
        <w:pStyle w:val="ListParagraph"/>
        <w:numPr>
          <w:ilvl w:val="0"/>
          <w:numId w:val="2"/>
        </w:numPr>
        <w:spacing w:after="60"/>
      </w:pPr>
      <w:r>
        <w:rPr>
          <w:rFonts w:ascii="Arial" w:cs="Arial" w:eastAsia="Arial" w:hAnsi="Arial"/>
          <w:color w:val="2C2C2C"/>
          <w:sz w:val="20"/>
          <w:szCs w:val="20"/>
        </w:rPr>
        <w:t xml:space="preserve">consent_status: Boolean TRUE, confirmed at point of web form submission</w:t>
      </w:r>
    </w:p>
    <w:p>
      <w:pPr>
        <w:pStyle w:val="ListParagraph"/>
        <w:numPr>
          <w:ilvl w:val="0"/>
          <w:numId w:val="2"/>
        </w:numPr>
        <w:spacing w:after="60"/>
      </w:pPr>
      <w:r>
        <w:rPr>
          <w:rFonts w:ascii="Arial" w:cs="Arial" w:eastAsia="Arial" w:hAnsi="Arial"/>
          <w:color w:val="2C2C2C"/>
          <w:sz w:val="20"/>
          <w:szCs w:val="20"/>
        </w:rPr>
        <w:t xml:space="preserve">disclosure_text: Exact verbatim text of the consent disclosure shown to the consumer</w:t>
      </w:r>
    </w:p>
    <w:p>
      <w:pPr>
        <w:pStyle w:val="ListParagraph"/>
        <w:numPr>
          <w:ilvl w:val="0"/>
          <w:numId w:val="2"/>
        </w:numPr>
        <w:spacing w:after="60"/>
      </w:pPr>
      <w:r>
        <w:rPr>
          <w:rFonts w:ascii="Arial" w:cs="Arial" w:eastAsia="Arial" w:hAnsi="Arial"/>
          <w:color w:val="2C2C2C"/>
          <w:sz w:val="20"/>
          <w:szCs w:val="20"/>
        </w:rPr>
        <w:t xml:space="preserve">ip_address: IPv4/IPv6 address of the submitting device</w:t>
      </w:r>
    </w:p>
    <w:p>
      <w:pPr>
        <w:pStyle w:val="ListParagraph"/>
        <w:numPr>
          <w:ilvl w:val="0"/>
          <w:numId w:val="2"/>
        </w:numPr>
        <w:spacing w:after="60"/>
      </w:pPr>
      <w:r>
        <w:rPr>
          <w:rFonts w:ascii="Arial" w:cs="Arial" w:eastAsia="Arial" w:hAnsi="Arial"/>
          <w:color w:val="2C2C2C"/>
          <w:sz w:val="20"/>
          <w:szCs w:val="20"/>
        </w:rPr>
        <w:t xml:space="preserve">opt_in_timestamp: Timezone-aware UTC timestamp (PostgreSQL TIMESTAMPTZ)</w:t>
      </w:r>
    </w:p>
    <w:p>
      <w:pPr>
        <w:pStyle w:val="ListParagraph"/>
        <w:numPr>
          <w:ilvl w:val="0"/>
          <w:numId w:val="2"/>
        </w:numPr>
        <w:spacing w:after="60"/>
      </w:pPr>
      <w:r>
        <w:rPr>
          <w:rFonts w:ascii="Arial" w:cs="Arial" w:eastAsia="Arial" w:hAnsi="Arial"/>
          <w:color w:val="2C2C2C"/>
          <w:sz w:val="20"/>
          <w:szCs w:val="20"/>
        </w:rPr>
        <w:t xml:space="preserve">source_url: The exact URL of the web form that captured consent</w:t>
      </w:r>
    </w:p>
    <w:p>
      <w:pPr>
        <w:spacing w:after="120"/>
      </w:pPr>
      <w:r>
        <w:rPr>
          <w:rFonts w:ascii="Arial" w:cs="Arial" w:eastAsia="Arial" w:hAnsi="Arial"/>
          <w:b w:val="false"/>
          <w:bCs w:val="false"/>
          <w:i w:val="false"/>
          <w:iCs w:val="false"/>
          <w:color w:val="2C2C2C"/>
          <w:sz w:val="22"/>
          <w:szCs w:val="22"/>
        </w:rPr>
        <w:t xml:space="preserve">Row-Level Security (RLS) on the consent_log table ensures that no public or client-side query can access, enumerate, or manipulate consent records. Only the authenticated backend service role, used exclusively by the n8n automation engine, can read this table.</w:t>
      </w:r>
    </w:p>
    <w:p>
      <w:pPr>
        <w:pStyle w:val="Heading2"/>
        <w:spacing w:before="280" w:after="160"/>
      </w:pPr>
      <w:r>
        <w:rPr>
          <w:rFonts w:ascii="Arial" w:cs="Arial" w:eastAsia="Arial" w:hAnsi="Arial"/>
        </w:rPr>
        <w:t xml:space="preserve">4.2 CIPA §§ 632 / 632.7 — Webhook-Gated Non-Consent Purge Workflow</w:t>
      </w:r>
    </w:p>
    <w:p>
      <w:pPr>
        <w:spacing w:after="80"/>
      </w:pPr>
      <w:r>
        <w:rPr>
          <w:rFonts w:ascii="Arial" w:cs="Arial" w:eastAsia="Arial" w:hAnsi="Arial"/>
          <w:b/>
          <w:bCs/>
          <w:color w:val="2C2C2C"/>
          <w:sz w:val="22"/>
          <w:szCs w:val="22"/>
        </w:rPr>
        <w:t xml:space="preserve">Statutory Mandate: </w:t>
      </w:r>
      <w:r>
        <w:rPr>
          <w:rFonts w:ascii="Arial" w:cs="Arial" w:eastAsia="Arial" w:hAnsi="Arial"/>
          <w:color w:val="2C2C2C"/>
          <w:sz w:val="22"/>
          <w:szCs w:val="22"/>
        </w:rPr>
        <w:t xml:space="preserve">Cal. Penal Code §§ 632, 632.7; Smith v. LoanMe (2021). All-party consent required; $5,000 per violation.</w:t>
      </w:r>
    </w:p>
    <w:p>
      <w:pPr>
        <w:spacing w:after="120"/>
      </w:pPr>
      <w:r>
        <w:rPr>
          <w:rFonts w:ascii="Arial" w:cs="Arial" w:eastAsia="Arial" w:hAnsi="Arial"/>
          <w:b w:val="false"/>
          <w:bCs w:val="false"/>
          <w:i w:val="false"/>
          <w:iCs w:val="false"/>
          <w:color w:val="2C2C2C"/>
          <w:sz w:val="22"/>
          <w:szCs w:val="22"/>
        </w:rPr>
        <w:t xml:space="preserve">Upon call termination, RetellAI dispatches an HTTPS POST webhook to n8n containing the full interaction payload. The n8n Consent Verification workflow evaluates two parameters: (1) the consent_revoked dynamic variable extracted from the conversation by RetellAI’s NLU layer, and (2) keyword pattern matching on the call analysis user_sentiment field. If either parameter indicates the consumer verbally denied recording, n8n executes a PATCH API call to the RetellAI endpoint for that specific call_id, setting data_storage_setting to basic_attributes_only.</w:t>
      </w:r>
    </w:p>
    <w:p>
      <w:pPr>
        <w:spacing w:after="120"/>
      </w:pPr>
      <w:r>
        <w:rPr>
          <w:rFonts w:ascii="Arial" w:cs="Arial" w:eastAsia="Arial" w:hAnsi="Arial"/>
          <w:b w:val="false"/>
          <w:bCs w:val="false"/>
          <w:i w:val="false"/>
          <w:iCs w:val="false"/>
          <w:color w:val="2C2C2C"/>
          <w:sz w:val="22"/>
          <w:szCs w:val="22"/>
        </w:rPr>
        <w:t xml:space="preserve">Setting data_storage_setting to basic_attributes_only guarantees that RetellAI retains only non-identifying routing metadata (call duration, cost), permanently and immediately discarding the natural language transcript and raw audio recording. This severs the liability vector under CIPA § 637.2.</w:t>
      </w:r>
    </w:p>
    <w:p>
      <w:pPr>
        <w:pStyle w:val="Heading2"/>
        <w:spacing w:before="280" w:after="160"/>
      </w:pPr>
      <w:r>
        <w:rPr>
          <w:rFonts w:ascii="Arial" w:cs="Arial" w:eastAsia="Arial" w:hAnsi="Arial"/>
        </w:rPr>
        <w:t xml:space="preserve">4.3 FTC Operation AI Comply — Hard-Coded Bot Identity Disclosure</w:t>
      </w:r>
    </w:p>
    <w:p>
      <w:pPr>
        <w:spacing w:after="80"/>
      </w:pPr>
      <w:r>
        <w:rPr>
          <w:rFonts w:ascii="Arial" w:cs="Arial" w:eastAsia="Arial" w:hAnsi="Arial"/>
          <w:b/>
          <w:bCs/>
          <w:color w:val="2C2C2C"/>
          <w:sz w:val="22"/>
          <w:szCs w:val="22"/>
        </w:rPr>
        <w:t xml:space="preserve">Statutory Mandate: </w:t>
      </w:r>
      <w:r>
        <w:rPr>
          <w:rFonts w:ascii="Arial" w:cs="Arial" w:eastAsia="Arial" w:hAnsi="Arial"/>
          <w:color w:val="2C2C2C"/>
          <w:sz w:val="22"/>
          <w:szCs w:val="22"/>
        </w:rPr>
        <w:t xml:space="preserve">15 U.S.C. § 45; FTC Operation AI Comply (September 2024).</w:t>
      </w:r>
    </w:p>
    <w:p>
      <w:pPr>
        <w:spacing w:after="120"/>
      </w:pPr>
      <w:r>
        <w:rPr>
          <w:rFonts w:ascii="Arial" w:cs="Arial" w:eastAsia="Arial" w:hAnsi="Arial"/>
          <w:b w:val="false"/>
          <w:bCs w:val="false"/>
          <w:i w:val="false"/>
          <w:iCs w:val="false"/>
          <w:color w:val="2C2C2C"/>
          <w:sz w:val="22"/>
          <w:szCs w:val="22"/>
        </w:rPr>
        <w:t xml:space="preserve">The RetellAI agent’s system prompt contains a non-negotiable, hard-coded identity disclosure rule. The AI is architecturally incapable of initiating or sustaining a call without identifying itself as an AI virtual assistant in the first sentence of dialogue. This is enforced at the system prompt level, not via a behavioral guideline that an LLM could deviate from under adversarial prompting conditions. The disclosure is not operator-configurable at runtime.</w:t>
      </w:r>
    </w:p>
    <w:p>
      <w:pPr>
        <w:pStyle w:val="Heading2"/>
        <w:spacing w:before="280" w:after="160"/>
      </w:pPr>
      <w:r>
        <w:rPr>
          <w:rFonts w:ascii="Arial" w:cs="Arial" w:eastAsia="Arial" w:hAnsi="Arial"/>
        </w:rPr>
        <w:t xml:space="preserve">4.4 CPRA ADMT — Architectural Bypass of Significant Decision-Making</w:t>
      </w:r>
    </w:p>
    <w:p>
      <w:pPr>
        <w:spacing w:after="80"/>
      </w:pPr>
      <w:r>
        <w:rPr>
          <w:rFonts w:ascii="Arial" w:cs="Arial" w:eastAsia="Arial" w:hAnsi="Arial"/>
          <w:b/>
          <w:bCs/>
          <w:color w:val="2C2C2C"/>
          <w:sz w:val="22"/>
          <w:szCs w:val="22"/>
        </w:rPr>
        <w:t xml:space="preserve">Statutory Mandate: </w:t>
      </w:r>
      <w:r>
        <w:rPr>
          <w:rFonts w:ascii="Arial" w:cs="Arial" w:eastAsia="Arial" w:hAnsi="Arial"/>
          <w:color w:val="2C2C2C"/>
          <w:sz w:val="22"/>
          <w:szCs w:val="22"/>
        </w:rPr>
        <w:t xml:space="preserve">Cal. Civ. Code § 1798.185; 11 C.C.R. § 7000 et seq. (effective 2026; ADMT-specific compliance April 1, 2027).</w:t>
      </w:r>
    </w:p>
    <w:p>
      <w:pPr>
        <w:spacing w:after="120"/>
      </w:pPr>
      <w:r>
        <w:rPr>
          <w:rFonts w:ascii="Arial" w:cs="Arial" w:eastAsia="Arial" w:hAnsi="Arial"/>
          <w:b w:val="false"/>
          <w:bCs w:val="false"/>
          <w:i w:val="false"/>
          <w:iCs w:val="false"/>
          <w:color w:val="2C2C2C"/>
          <w:sz w:val="22"/>
          <w:szCs w:val="22"/>
        </w:rPr>
        <w:t xml:space="preserve">The deployed system is technically exempt because the AI is architecturally prohibited from generating credit approvals, financing terms, or employment decisions. The AI operates exclusively within inbound service scheduling, outbound appointment confirmation, and general inventory Q&amp;A. Any consumer attempt to obtain financing guidance is redirected to a human finance manager. ADMT obligations are not triggered.</w:t>
      </w:r>
    </w:p>
    <w:p>
      <w:pPr>
        <w:pStyle w:val="Heading2"/>
        <w:spacing w:before="280" w:after="160"/>
      </w:pPr>
      <w:r>
        <w:rPr>
          <w:rFonts w:ascii="Arial" w:cs="Arial" w:eastAsia="Arial" w:hAnsi="Arial"/>
        </w:rPr>
        <w:t xml:space="preserve">4.5 CPRA Data Minimization and SB 446 Breach Notification Alignment</w:t>
      </w:r>
    </w:p>
    <w:p>
      <w:pPr>
        <w:spacing w:after="80"/>
      </w:pPr>
      <w:r>
        <w:rPr>
          <w:rFonts w:ascii="Arial" w:cs="Arial" w:eastAsia="Arial" w:hAnsi="Arial"/>
          <w:b/>
          <w:bCs/>
          <w:color w:val="2C2C2C"/>
          <w:sz w:val="22"/>
          <w:szCs w:val="22"/>
        </w:rPr>
        <w:t xml:space="preserve">Statutory Mandate: </w:t>
      </w:r>
      <w:r>
        <w:rPr>
          <w:rFonts w:ascii="Arial" w:cs="Arial" w:eastAsia="Arial" w:hAnsi="Arial"/>
          <w:color w:val="2C2C2C"/>
          <w:sz w:val="22"/>
          <w:szCs w:val="22"/>
        </w:rPr>
        <w:t xml:space="preserve">Cal. Civ. Code § 1798.100(c) (data minimization); Cal. Civ. Code § 1798.82 as amended by SB 446 (effective January 1, 2026).</w:t>
      </w:r>
    </w:p>
    <w:p>
      <w:pPr>
        <w:spacing w:after="120"/>
      </w:pPr>
      <w:r>
        <w:rPr>
          <w:rFonts w:ascii="Arial" w:cs="Arial" w:eastAsia="Arial" w:hAnsi="Arial"/>
          <w:b w:val="false"/>
          <w:bCs w:val="false"/>
          <w:i w:val="false"/>
          <w:iCs w:val="false"/>
          <w:color w:val="2C2C2C"/>
          <w:sz w:val="22"/>
          <w:szCs w:val="22"/>
        </w:rPr>
        <w:t xml:space="preserve">Data minimization is enforced at two distinct layers. First, RetellAI’s native PII Redaction Engine evaluates conversation transcripts in real-time, substituting recognized sensitive entities with placeholder tokens before any data is transmitted downstream. Second, n8n execution logs are configured to auto-purge after 30 days, preventing the workflow automation layer from becoming a shadow database of customer interactions.</w:t>
      </w:r>
    </w:p>
    <w:p>
      <w:pPr>
        <w:pStyle w:val="Heading1"/>
        <w:spacing w:before="360" w:after="200"/>
      </w:pPr>
      <w:r>
        <w:rPr>
          <w:rFonts w:ascii="Arial" w:cs="Arial" w:eastAsia="Arial" w:hAnsi="Arial"/>
        </w:rPr>
        <w:t xml:space="preserve">5. Consent and Disclosure Scripts</w:t>
      </w:r>
    </w:p>
    <w:p>
      <w:pPr>
        <w:spacing w:after="120"/>
      </w:pPr>
      <w:r>
        <w:rPr>
          <w:rFonts w:ascii="Arial" w:cs="Arial" w:eastAsia="Arial" w:hAnsi="Arial"/>
          <w:b w:val="false"/>
          <w:bCs w:val="false"/>
          <w:i w:val="false"/>
          <w:iCs w:val="false"/>
          <w:color w:val="2C2C2C"/>
          <w:sz w:val="22"/>
          <w:szCs w:val="22"/>
        </w:rPr>
        <w:t xml:space="preserve">The exact wording of automated disclosures is critical for defensibility under TCPA, CIPA, and FTC enforcement actions. The scripts below are hard-coded into RetellAI system prompts and are not operator-configurable at runtime.</w:t>
      </w:r>
    </w:p>
    <w:p>
      <w:pPr>
        <w:pStyle w:val="Heading3"/>
        <w:spacing w:before="200" w:after="120"/>
      </w:pPr>
      <w:r>
        <w:rPr>
          <w:rFonts w:ascii="Arial" w:cs="Arial" w:eastAsia="Arial" w:hAnsi="Arial"/>
        </w:rPr>
        <w:t xml:space="preserve">5.1 Inbound Call Script — CIPA § 632.7 and FTC Compliance</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pPr>
              <w:spacing w:after="40"/>
            </w:pPr>
            <w:r>
              <w:rPr>
                <w:rFonts w:ascii="Arial" w:cs="Arial" w:eastAsia="Arial" w:hAnsi="Arial"/>
                <w:b/>
                <w:bCs/>
                <w:color w:val="1B2A4A"/>
                <w:sz w:val="20"/>
                <w:szCs w:val="20"/>
              </w:rPr>
              <w:t xml:space="preserve">INBOUND AGENT GREETING — REQUIRED VERBATIM</w:t>
            </w:r>
          </w:p>
          <w:p>
            <w:r>
              <w:rPr>
                <w:rFonts w:ascii="Arial" w:cs="Arial" w:eastAsia="Arial" w:hAnsi="Arial"/>
                <w:i/>
                <w:iCs/>
                <w:color w:val="2C2C2C"/>
                <w:sz w:val="20"/>
                <w:szCs w:val="20"/>
              </w:rPr>
              <w:t xml:space="preserve">"Hello, thank you for calling Mercedes of South Bay. I am the AI virtual assistant. Please be aware that this call is recorded and analyzed for quality and training purposes. How can I assist you today?"</w:t>
            </w:r>
          </w:p>
        </w:tc>
      </w:tr>
    </w:tbl>
    <w:p>
      <w:pPr>
        <w:spacing w:after="100"/>
      </w:pPr>
    </w:p>
    <w:p>
      <w:pPr>
        <w:pStyle w:val="Heading3"/>
        <w:spacing w:before="200" w:after="120"/>
      </w:pPr>
      <w:r>
        <w:rPr>
          <w:rFonts w:ascii="Arial" w:cs="Arial" w:eastAsia="Arial" w:hAnsi="Arial"/>
        </w:rPr>
        <w:t xml:space="preserve">5.2 Outbound Call Script — TCPA and FTC Compliance</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pPr>
              <w:spacing w:after="40"/>
            </w:pPr>
            <w:r>
              <w:rPr>
                <w:rFonts w:ascii="Arial" w:cs="Arial" w:eastAsia="Arial" w:hAnsi="Arial"/>
                <w:b/>
                <w:bCs/>
                <w:color w:val="1B2A4A"/>
                <w:sz w:val="20"/>
                <w:szCs w:val="20"/>
              </w:rPr>
              <w:t xml:space="preserve">OUTBOUND AGENT GREETING — REQUIRED VERBATIM</w:t>
            </w:r>
          </w:p>
          <w:p>
            <w:r>
              <w:rPr>
                <w:rFonts w:ascii="Arial" w:cs="Arial" w:eastAsia="Arial" w:hAnsi="Arial"/>
                <w:i/>
                <w:iCs/>
                <w:color w:val="2C2C2C"/>
                <w:sz w:val="20"/>
                <w:szCs w:val="20"/>
              </w:rPr>
              <w:t xml:space="preserve">"Hi, this is the virtual assistant calling from Mercedes of South Bay on a recorded line. I’m calling regarding your upcoming service appointment. Do you have a moment to confirm?"</w:t>
            </w:r>
          </w:p>
        </w:tc>
      </w:tr>
    </w:tbl>
    <w:p>
      <w:pPr>
        <w:spacing w:after="100"/>
      </w:pPr>
    </w:p>
    <w:p>
      <w:pPr>
        <w:pStyle w:val="Heading3"/>
        <w:spacing w:before="200" w:after="120"/>
      </w:pPr>
      <w:r>
        <w:rPr>
          <w:rFonts w:ascii="Arial" w:cs="Arial" w:eastAsia="Arial" w:hAnsi="Arial"/>
        </w:rPr>
        <w:t xml:space="preserve">5.3 Outbound SMS — A2P 10DLC and CTIA Compliance</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pPr>
              <w:spacing w:after="40"/>
            </w:pPr>
            <w:r>
              <w:rPr>
                <w:rFonts w:ascii="Arial" w:cs="Arial" w:eastAsia="Arial" w:hAnsi="Arial"/>
                <w:b/>
                <w:bCs/>
                <w:color w:val="1B2A4A"/>
                <w:sz w:val="20"/>
                <w:szCs w:val="20"/>
              </w:rPr>
              <w:t xml:space="preserve">FIRST SMS MESSAGE — REQUIRED VERBATIM</w:t>
            </w:r>
          </w:p>
          <w:p>
            <w:r>
              <w:rPr>
                <w:rFonts w:ascii="Arial" w:cs="Arial" w:eastAsia="Arial" w:hAnsi="Arial"/>
                <w:i/>
                <w:iCs/>
                <w:color w:val="2C2C2C"/>
                <w:sz w:val="20"/>
                <w:szCs w:val="20"/>
              </w:rPr>
              <w:t xml:space="preserve">"Mercedes of South Bay: Hi [Name], thanks for your inquiry about the [Vehicle]. Our AI assistant can help schedule a test drive. Reply STOP to opt out. Msg&amp;Data rates may apply."</w:t>
            </w:r>
          </w:p>
        </w:tc>
      </w:tr>
    </w:tbl>
    <w:p>
      <w:pPr>
        <w:pStyle w:val="Heading1"/>
        <w:spacing w:before="360" w:after="200"/>
      </w:pPr>
      <w:r>
        <w:rPr>
          <w:rFonts w:ascii="Arial" w:cs="Arial" w:eastAsia="Arial" w:hAnsi="Arial"/>
        </w:rPr>
        <w:t xml:space="preserve">6. PII Handling, Retention Policy, and Database Architecture</w:t>
      </w:r>
    </w:p>
    <w:p>
      <w:pPr>
        <w:pStyle w:val="Heading2"/>
        <w:spacing w:before="280" w:after="160"/>
      </w:pPr>
      <w:r>
        <w:rPr>
          <w:rFonts w:ascii="Arial" w:cs="Arial" w:eastAsia="Arial" w:hAnsi="Arial"/>
        </w:rPr>
        <w:t xml:space="preserve">6.1 RetellAI PII Redaction — Active Categories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434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PII Category</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 Redacted Value</w:t>
            </w:r>
          </w:p>
        </w:tc>
        <w:tc>
          <w:tcPr>
            <w:tcW w:type="dxa" w:w="4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Compliance 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person_name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John Smith → &lt;NAME&gt;</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CPRA § 1798.140(v)(1)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address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123 Main St → &lt;ADDRESS&gt;</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CPRA § 1798.140(v)(1)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ssn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XXX-XX-XXXX → &lt;SSN&gt;</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Cal. Civ. Code § 1798.81.5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credit_card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4111 1111 1111 1111 → &lt;CC&gt;</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Cal. Civ. Code § 1798.81.5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bank_account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Account No. → &lt;BANK_ACCT&gt;</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Cal. Civ. Code § 1798.81.5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medical_id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MRN/Health ID → &lt;MEDICAL_ID&gt;</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CMIA / HIPAA overlay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date_of_birth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01/01/1990 → &lt;DOB&gt;</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CPRA § 1798.140(ae)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pin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Numeric PIN → &lt;PIN&gt;</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Cal. Civ. Code § 1798.81.5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password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Password string → &lt;PASSWORD&gt;</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Reasonable Security Standard</w:t>
            </w:r>
          </w:p>
        </w:tc>
      </w:tr>
    </w:tbl>
    <w:p>
      <w:pPr>
        <w:spacing w:after="100"/>
      </w:pPr>
    </w:p>
    <w:p>
      <w:pPr>
        <w:pStyle w:val="Heading2"/>
        <w:spacing w:before="280" w:after="160"/>
      </w:pPr>
      <w:r>
        <w:rPr>
          <w:rFonts w:ascii="Arial" w:cs="Arial" w:eastAsia="Arial" w:hAnsi="Arial"/>
        </w:rPr>
        <w:t xml:space="preserve">6.2 Data Retention Policy</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44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Retention Period</w:t>
            </w:r>
          </w:p>
        </w:tc>
        <w:tc>
          <w:tcPr>
            <w:tcW w:type="dxa" w:w="44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Call Metadata and PEWC Opt-In Proof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4 years from last interaction</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Standard statute of limitations for TCPA class-action defense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Audio Recordings (Consented)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90 days via RetellAI / AWS S3</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Quality assurance only; permanently deleted at 90 days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Redacted Call Transcripts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90 days, then archived or purged</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Operational review; post-90-day retention must be justified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n8n Execution Logs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30 days (auto-purge)</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Prevents workflow engine from becoming shadow database; CPRA data minimization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Supabase Administrative Logs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Continuous / monitored</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Required for SB 446 breach detection and incident response</w:t>
            </w:r>
          </w:p>
        </w:tc>
      </w:tr>
    </w:tbl>
    <w:p>
      <w:pPr>
        <w:pStyle w:val="Heading2"/>
        <w:spacing w:before="280" w:after="160"/>
      </w:pPr>
      <w:r>
        <w:rPr>
          <w:rFonts w:ascii="Arial" w:cs="Arial" w:eastAsia="Arial" w:hAnsi="Arial"/>
        </w:rPr>
        <w:t xml:space="preserve">6.3 Supabase Consent Log — SQL Schema</w:t>
      </w:r>
    </w:p>
    <w:p>
      <w:pPr>
        <w:spacing w:after="120"/>
      </w:pPr>
      <w:r>
        <w:rPr>
          <w:rFonts w:ascii="Arial" w:cs="Arial" w:eastAsia="Arial" w:hAnsi="Arial"/>
          <w:b w:val="false"/>
          <w:bCs w:val="false"/>
          <w:i w:val="false"/>
          <w:iCs w:val="false"/>
          <w:color w:val="2C2C2C"/>
          <w:sz w:val="22"/>
          <w:szCs w:val="22"/>
        </w:rPr>
        <w:t xml:space="preserve">The Supabase PostgreSQL instance is architected to log PEWC data definitively with Row-Level Security enforced:</w:t>
      </w:r>
    </w:p>
    <w:p>
      <w:pPr>
        <w:shd w:fill="F0F0F0" w:val="clear"/>
        <w:spacing w:after="80"/>
        <w:ind w:left="360"/>
      </w:pPr>
      <w:r>
        <w:rPr>
          <w:rFonts w:ascii="Courier New" w:cs="Courier New" w:eastAsia="Courier New" w:hAnsi="Courier New"/>
          <w:color w:val="2C2C2C"/>
          <w:sz w:val="18"/>
          <w:szCs w:val="18"/>
        </w:rPr>
        <w:t xml:space="preserve">CREATE TABLE consent_log (</w:t>
      </w:r>
    </w:p>
    <w:p>
      <w:pPr>
        <w:shd w:fill="F0F0F0" w:val="clear"/>
        <w:spacing w:after="80"/>
        <w:ind w:left="360"/>
      </w:pPr>
      <w:r>
        <w:rPr>
          <w:rFonts w:ascii="Courier New" w:cs="Courier New" w:eastAsia="Courier New" w:hAnsi="Courier New"/>
          <w:color w:val="2C2C2C"/>
          <w:sz w:val="18"/>
          <w:szCs w:val="18"/>
        </w:rPr>
        <w:t xml:space="preserve">  id UUID PRIMARY KEY DEFAULT uuid_generate_v4(),</w:t>
      </w:r>
    </w:p>
    <w:p>
      <w:pPr>
        <w:shd w:fill="F0F0F0" w:val="clear"/>
        <w:spacing w:after="80"/>
        <w:ind w:left="360"/>
      </w:pPr>
      <w:r>
        <w:rPr>
          <w:rFonts w:ascii="Courier New" w:cs="Courier New" w:eastAsia="Courier New" w:hAnsi="Courier New"/>
          <w:color w:val="2C2C2C"/>
          <w:sz w:val="18"/>
          <w:szCs w:val="18"/>
        </w:rPr>
        <w:t xml:space="preserve">  phone_number VARCHAR(15) NOT NULL,</w:t>
      </w:r>
    </w:p>
    <w:p>
      <w:pPr>
        <w:shd w:fill="F0F0F0" w:val="clear"/>
        <w:spacing w:after="80"/>
        <w:ind w:left="360"/>
      </w:pPr>
      <w:r>
        <w:rPr>
          <w:rFonts w:ascii="Courier New" w:cs="Courier New" w:eastAsia="Courier New" w:hAnsi="Courier New"/>
          <w:color w:val="2C2C2C"/>
          <w:sz w:val="18"/>
          <w:szCs w:val="18"/>
        </w:rPr>
        <w:t xml:space="preserve">  consent_status BOOLEAN NOT NULL,</w:t>
      </w:r>
    </w:p>
    <w:p>
      <w:pPr>
        <w:shd w:fill="F0F0F0" w:val="clear"/>
        <w:spacing w:after="80"/>
        <w:ind w:left="360"/>
      </w:pPr>
      <w:r>
        <w:rPr>
          <w:rFonts w:ascii="Courier New" w:cs="Courier New" w:eastAsia="Courier New" w:hAnsi="Courier New"/>
          <w:color w:val="2C2C2C"/>
          <w:sz w:val="18"/>
          <w:szCs w:val="18"/>
        </w:rPr>
        <w:t xml:space="preserve">  disclosure_text TEXT NOT NULL,</w:t>
      </w:r>
    </w:p>
    <w:p>
      <w:pPr>
        <w:shd w:fill="F0F0F0" w:val="clear"/>
        <w:spacing w:after="80"/>
        <w:ind w:left="360"/>
      </w:pPr>
      <w:r>
        <w:rPr>
          <w:rFonts w:ascii="Courier New" w:cs="Courier New" w:eastAsia="Courier New" w:hAnsi="Courier New"/>
          <w:color w:val="2C2C2C"/>
          <w:sz w:val="18"/>
          <w:szCs w:val="18"/>
        </w:rPr>
        <w:t xml:space="preserve">  ip_address VARCHAR(45),</w:t>
      </w:r>
    </w:p>
    <w:p>
      <w:pPr>
        <w:shd w:fill="F0F0F0" w:val="clear"/>
        <w:spacing w:after="80"/>
        <w:ind w:left="360"/>
      </w:pPr>
      <w:r>
        <w:rPr>
          <w:rFonts w:ascii="Courier New" w:cs="Courier New" w:eastAsia="Courier New" w:hAnsi="Courier New"/>
          <w:color w:val="2C2C2C"/>
          <w:sz w:val="18"/>
          <w:szCs w:val="18"/>
        </w:rPr>
        <w:t xml:space="preserve">  opt_in_timestamp TIMESTAMPTZ DEFAULT NOW(),</w:t>
      </w:r>
    </w:p>
    <w:p>
      <w:pPr>
        <w:shd w:fill="F0F0F0" w:val="clear"/>
        <w:spacing w:after="80"/>
        <w:ind w:left="360"/>
      </w:pPr>
      <w:r>
        <w:rPr>
          <w:rFonts w:ascii="Courier New" w:cs="Courier New" w:eastAsia="Courier New" w:hAnsi="Courier New"/>
          <w:color w:val="2C2C2C"/>
          <w:sz w:val="18"/>
          <w:szCs w:val="18"/>
        </w:rPr>
        <w:t xml:space="preserve">  source_url VARCHAR(255)</w:t>
      </w:r>
    </w:p>
    <w:p>
      <w:pPr>
        <w:shd w:fill="F0F0F0" w:val="clear"/>
        <w:spacing w:after="80"/>
        <w:ind w:left="360"/>
      </w:pPr>
      <w:r>
        <w:rPr>
          <w:rFonts w:ascii="Courier New" w:cs="Courier New" w:eastAsia="Courier New" w:hAnsi="Courier New"/>
          <w:color w:val="2C2C2C"/>
          <w:sz w:val="18"/>
          <w:szCs w:val="18"/>
        </w:rPr>
        <w:t xml:space="preserve">);</w:t>
      </w:r>
    </w:p>
    <w:p>
      <w:pPr>
        <w:shd w:fill="F0F0F0" w:val="clear"/>
        <w:spacing w:after="80"/>
        <w:ind w:left="360"/>
      </w:pPr>
      <w:r>
        <w:rPr>
          <w:rFonts w:ascii="Courier New" w:cs="Courier New" w:eastAsia="Courier New" w:hAnsi="Courier New"/>
          <w:color w:val="2C2C2C"/>
          <w:sz w:val="18"/>
          <w:szCs w:val="18"/>
        </w:rPr>
        <w:t xml:space="preserve">ALTER TABLE consent_log ENABLE ROW LEVEL SECURITY;</w:t>
      </w:r>
    </w:p>
    <w:p>
      <w:pPr>
        <w:shd w:fill="F0F0F0" w:val="clear"/>
        <w:spacing w:after="80"/>
        <w:ind w:left="360"/>
      </w:pPr>
      <w:r>
        <w:rPr>
          <w:rFonts w:ascii="Courier New" w:cs="Courier New" w:eastAsia="Courier New" w:hAnsi="Courier New"/>
          <w:color w:val="2C2C2C"/>
          <w:sz w:val="18"/>
          <w:szCs w:val="18"/>
        </w:rPr>
        <w:t xml:space="preserve">CREATE POLICY "Service Role Full Access" ON consent_log</w:t>
      </w:r>
    </w:p>
    <w:p>
      <w:pPr>
        <w:shd w:fill="F0F0F0" w:val="clear"/>
        <w:spacing w:after="80"/>
        <w:ind w:left="360"/>
      </w:pPr>
      <w:r>
        <w:rPr>
          <w:rFonts w:ascii="Courier New" w:cs="Courier New" w:eastAsia="Courier New" w:hAnsi="Courier New"/>
          <w:color w:val="2C2C2C"/>
          <w:sz w:val="18"/>
          <w:szCs w:val="18"/>
        </w:rPr>
        <w:t xml:space="preserve">  FOR ALL USING (auth.role() = 'service_role');</w:t>
      </w:r>
    </w:p>
    <w:p>
      <w:pPr>
        <w:pStyle w:val="Heading1"/>
        <w:spacing w:before="360" w:after="200"/>
      </w:pPr>
      <w:r>
        <w:rPr>
          <w:rFonts w:ascii="Arial" w:cs="Arial" w:eastAsia="Arial" w:hAnsi="Arial"/>
        </w:rPr>
        <w:t xml:space="preserve">7. Access Controls and Administrative Separation</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434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Systems Accessible</w:t>
            </w:r>
          </w:p>
        </w:tc>
        <w:tc>
          <w:tcPr>
            <w:tcW w:type="dxa" w:w="4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Restrictions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Sales / BDC Agents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Downstream CRM (redacted transcripts only)</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Zero access to raw Supabase tables, RetellAI audio files, or n8n workflow logic. Cannot export PII.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System Developers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n8n workflows; Google AI Studio environments</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Cannot access consent_log directly. Cannot export bulk PII. MFA enforced.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Compliance / Legal Admins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Supabase consent_log; RetellAI audit toggles</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Exclusive access to unmasked data; governed by access-log audit trail. Dual authorization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Executive / GM Access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Admin dashboards; aggregate reporting only</w:t>
            </w:r>
          </w:p>
        </w:tc>
        <w:tc>
          <w:tcPr>
            <w:tcW w:type="dxa" w:w="4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No access to raw call recordings or unredacted consumer profiles.</w:t>
            </w:r>
          </w:p>
        </w:tc>
      </w:tr>
    </w:tbl>
    <w:p>
      <w:pPr>
        <w:spacing w:after="100"/>
      </w:pPr>
    </w:p>
    <w:p>
      <w:pPr>
        <w:spacing w:after="120"/>
      </w:pPr>
      <w:r>
        <w:rPr>
          <w:rFonts w:ascii="Arial" w:cs="Arial" w:eastAsia="Arial" w:hAnsi="Arial"/>
          <w:b w:val="false"/>
          <w:bCs w:val="false"/>
          <w:i w:val="false"/>
          <w:iCs w:val="false"/>
          <w:color w:val="2C2C2C"/>
          <w:sz w:val="22"/>
          <w:szCs w:val="22"/>
        </w:rPr>
        <w:t xml:space="preserve">All administrative access requires mandatory Multi-Factor Authentication (MFA) utilizing hardware tokens or authenticator applications. API key rotation is scheduled quarterly and executed immediately upon any personnel offboarding event.</w:t>
      </w:r>
    </w:p>
    <w:p>
      <w:pPr>
        <w:pStyle w:val="Heading1"/>
        <w:spacing w:before="360" w:after="200"/>
      </w:pPr>
      <w:r>
        <w:rPr>
          <w:rFonts w:ascii="Arial" w:cs="Arial" w:eastAsia="Arial" w:hAnsi="Arial"/>
        </w:rPr>
        <w:t xml:space="preserve">8. Incident Response and SB 446 Timing Alignment</w:t>
      </w:r>
    </w:p>
    <w:p>
      <w:pPr>
        <w:pStyle w:val="Heading3"/>
        <w:spacing w:before="200" w:after="120"/>
      </w:pPr>
      <w:r>
        <w:rPr>
          <w:rFonts w:ascii="Arial" w:cs="Arial" w:eastAsia="Arial" w:hAnsi="Arial"/>
        </w:rPr>
        <w:t xml:space="preserve">Statutory Notification Timelines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04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Notification Obligation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Deadline</w:t>
            </w:r>
          </w:p>
        </w:tc>
        <w:tc>
          <w:tcPr>
            <w:tcW w:type="dxa" w:w="5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 and 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Consumer Notification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30 CALENDAR DAYS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From discovery of breach. Must include statutory headings: What Happened, What Information Was Involved, What We Are Doing, What You Can Do, For More Information.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Attorney General Notification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15 CALENDAR DAYS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From date of sending consumer notices. Required only if breach affects 500+ California residents.</w:t>
            </w:r>
          </w:p>
        </w:tc>
      </w:tr>
    </w:tbl>
    <w:p>
      <w:pPr>
        <w:spacing w:after="100"/>
      </w:pPr>
    </w:p>
    <w:p>
      <w:pPr>
        <w:pStyle w:val="Heading3"/>
        <w:spacing w:before="200" w:after="120"/>
      </w:pPr>
      <w:r>
        <w:rPr>
          <w:rFonts w:ascii="Arial" w:cs="Arial" w:eastAsia="Arial" w:hAnsi="Arial"/>
        </w:rPr>
        <w:t xml:space="preserve">Incident Response Phased Approach</w:t>
      </w:r>
    </w:p>
    <w:p>
      <w:pPr>
        <w:pStyle w:val="ListParagraph"/>
        <w:numPr>
          <w:ilvl w:val="0"/>
          <w:numId w:val="2"/>
        </w:numPr>
        <w:spacing w:after="60"/>
      </w:pPr>
      <w:r>
        <w:rPr>
          <w:rFonts w:ascii="Arial" w:cs="Arial" w:eastAsia="Arial" w:hAnsi="Arial"/>
          <w:color w:val="2C2C2C"/>
          <w:sz w:val="20"/>
          <w:szCs w:val="20"/>
        </w:rPr>
        <w:t xml:space="preserve">Phase 1 — Identification: Supabase audit logs and n8n monitoring continuously detect unauthorized data exfiltration. Automated alerting triggers within 24 hours.</w:t>
      </w:r>
    </w:p>
    <w:p>
      <w:pPr>
        <w:pStyle w:val="ListParagraph"/>
        <w:numPr>
          <w:ilvl w:val="0"/>
          <w:numId w:val="2"/>
        </w:numPr>
        <w:spacing w:after="60"/>
      </w:pPr>
      <w:r>
        <w:rPr>
          <w:rFonts w:ascii="Arial" w:cs="Arial" w:eastAsia="Arial" w:hAnsi="Arial"/>
          <w:color w:val="2C2C2C"/>
          <w:sz w:val="20"/>
          <w:szCs w:val="20"/>
        </w:rPr>
        <w:t xml:space="preserve">Phase 2 — Containment: Affected API keys immediately rotated. n8n webhooks paused. Supabase RLS policies reviewed and hardened.</w:t>
      </w:r>
    </w:p>
    <w:p>
      <w:pPr>
        <w:pStyle w:val="ListParagraph"/>
        <w:numPr>
          <w:ilvl w:val="0"/>
          <w:numId w:val="2"/>
        </w:numPr>
        <w:spacing w:after="60"/>
      </w:pPr>
      <w:r>
        <w:rPr>
          <w:rFonts w:ascii="Arial" w:cs="Arial" w:eastAsia="Arial" w:hAnsi="Arial"/>
          <w:color w:val="2C2C2C"/>
          <w:sz w:val="20"/>
          <w:szCs w:val="20"/>
        </w:rPr>
        <w:t xml:space="preserve">Phase 3 — Remediation: Vulnerability patched. Legal team begins drafting statutory consumer notice. Day-count begins from confirmed discovery date.</w:t>
      </w:r>
    </w:p>
    <w:p>
      <w:pPr>
        <w:pStyle w:val="ListParagraph"/>
        <w:numPr>
          <w:ilvl w:val="0"/>
          <w:numId w:val="2"/>
        </w:numPr>
        <w:spacing w:after="60"/>
      </w:pPr>
      <w:r>
        <w:rPr>
          <w:rFonts w:ascii="Arial" w:cs="Arial" w:eastAsia="Arial" w:hAnsi="Arial"/>
          <w:color w:val="2C2C2C"/>
          <w:sz w:val="20"/>
          <w:szCs w:val="20"/>
        </w:rPr>
        <w:t xml:space="preserve">Phase 4 — Notification: Consumer notice dispatched within 30 days using required California statutory headings. AG submission within 15 days if 500+ residents affected.</w:t>
      </w:r>
    </w:p>
    <w:p>
      <w:pPr>
        <w:pStyle w:val="ListParagraph"/>
        <w:numPr>
          <w:ilvl w:val="0"/>
          <w:numId w:val="2"/>
        </w:numPr>
        <w:spacing w:after="60"/>
      </w:pPr>
      <w:r>
        <w:rPr>
          <w:rFonts w:ascii="Arial" w:cs="Arial" w:eastAsia="Arial" w:hAnsi="Arial"/>
          <w:color w:val="2C2C2C"/>
          <w:sz w:val="20"/>
          <w:szCs w:val="20"/>
        </w:rPr>
        <w:t xml:space="preserve">Phase 5 — Post-Incident Review: Root cause analysis documented. Controls updated. TISAX ISMS documentation updated.</w:t>
      </w:r>
    </w:p>
    <w:p>
      <w:pPr>
        <w:pStyle w:val="Heading1"/>
        <w:spacing w:before="360" w:after="200"/>
      </w:pPr>
      <w:r>
        <w:rPr>
          <w:rFonts w:ascii="Arial" w:cs="Arial" w:eastAsia="Arial" w:hAnsi="Arial"/>
        </w:rPr>
        <w:t xml:space="preserve">9. TISAX / OEM Security Readiness Framing</w:t>
      </w:r>
    </w:p>
    <w:p>
      <w:pPr>
        <w:spacing w:after="80"/>
      </w:pPr>
      <w:r>
        <w:rPr>
          <w:rFonts w:ascii="Arial" w:cs="Arial" w:eastAsia="Arial" w:hAnsi="Arial"/>
          <w:b/>
          <w:bCs/>
          <w:color w:val="2C2C2C"/>
          <w:sz w:val="22"/>
          <w:szCs w:val="22"/>
        </w:rPr>
        <w:t xml:space="preserve">Controlling Requirement: </w:t>
      </w:r>
      <w:r>
        <w:rPr>
          <w:rFonts w:ascii="Arial" w:cs="Arial" w:eastAsia="Arial" w:hAnsi="Arial"/>
          <w:color w:val="2C2C2C"/>
          <w:sz w:val="22"/>
          <w:szCs w:val="22"/>
        </w:rPr>
        <w:t xml:space="preserve">Mercedes-Benz USA NP.50.14.110 (August 2023); TISAX Level 2 Assessment Protocol.</w:t>
      </w:r>
    </w:p>
    <w:p>
      <w:pPr>
        <w:spacing w:after="120"/>
      </w:pPr>
      <w:r>
        <w:rPr>
          <w:rFonts w:ascii="Arial" w:cs="Arial" w:eastAsia="Arial" w:hAnsi="Arial"/>
          <w:b w:val="false"/>
          <w:bCs w:val="false"/>
          <w:i w:val="false"/>
          <w:iCs w:val="false"/>
          <w:color w:val="2C2C2C"/>
          <w:sz w:val="22"/>
          <w:szCs w:val="22"/>
        </w:rPr>
        <w:t xml:space="preserve">The software vendors utilized in this deployment hold the following security attestations: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354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Vendor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Attestations</w:t>
            </w:r>
          </w:p>
        </w:tc>
        <w:tc>
          <w:tcPr>
            <w:tcW w:type="dxa" w:w="35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Evidence / Action Required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Twilio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Telephony, A2P 10DLC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SOC 2 Type II, ISO 27001, PCI DSS</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Trust Hub confirms Standard Brand. Request SOC 2 report.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RetellAI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Voice AI, PII Redaction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SOC 2 Type I &amp; II, HIPAA, ISO 27001, GDPR, PCI</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PII redaction confirmed active. Request SOC 2 report.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n8n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Automation / Webhooks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SOC 2 (cloud), GDPR</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Enterprise SSO configured. 30-day retention. Request SOC 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Supabase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Customer DB / Storage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SOC 2 Type II, HIPAA BAA available</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RLS enforced. TLS required. Execute BAA if health data.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Google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Admin UI, Vertex AI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SOC 2 Type II, ISO 27001</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ZDR form approved. Prompt logging disabled.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Vercel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Dashboard Hosting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SOC 2 Type II, ISO 27001, TISAX Level 2, PCI DSS v4.0</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TISAX Level 2 certified — automotive-specific validation.</w:t>
            </w:r>
          </w:p>
        </w:tc>
      </w:tr>
    </w:tbl>
    <w:p>
      <w:pPr>
        <w:spacing w:after="100"/>
      </w:pPr>
    </w:p>
    <w:p>
      <w:pPr>
        <w:spacing w:after="120"/>
      </w:pPr>
      <w:r>
        <w:rPr>
          <w:rFonts w:ascii="Arial" w:cs="Arial" w:eastAsia="Arial" w:hAnsi="Arial"/>
          <w:b/>
          <w:bCs/>
          <w:i w:val="false"/>
          <w:iCs w:val="false"/>
          <w:color w:val="2C2C2C"/>
          <w:sz w:val="22"/>
          <w:szCs w:val="22"/>
        </w:rPr>
        <w:t xml:space="preserve">Critical Distinction: Vendor SOC 2 Type II reports attest to the security controls of the SaaS platforms themselves. They do not constitute an ISMS certification for the dealership entity. Mercedes of South Bay must separately commission a TISAX Level 2 external plausibility check, incorporating these vendor attestations as supporting evidence within the dealership’s own ISMS documentation.</w:t>
      </w:r>
    </w:p>
    <w:p>
      <w:pPr>
        <w:pStyle w:val="Heading1"/>
        <w:spacing w:before="360" w:after="200"/>
      </w:pPr>
      <w:r>
        <w:rPr>
          <w:rFonts w:ascii="Arial" w:cs="Arial" w:eastAsia="Arial" w:hAnsi="Arial"/>
        </w:rPr>
        <w:t xml:space="preserve">10. Residual Risk Matrix</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000"/>
        <w:gridCol w:w="3500"/>
        <w:gridCol w:w="204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 Event</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c>
          <w:tcPr>
            <w:tcW w:type="dxa" w:w="2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Residual Risk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TCPA Class Action (AI Voice / Outbound)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Strict PEWC enforcement; consent_log gates every outbound dial; logs exact consent IP/timestamp; unknown numbers blocked.</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CIPA § 632.7 Violation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Mandatory IVR disclosure; automated n8n workflow purges all artifacts upon verbal denial; Smith v. LoanMe defense eliminated by design.</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FTC AI Deception Action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Hard-coded system prompt forces AI to identify as AI Virtual Assistant; no runtime operator override.</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Twilio Carrier Filtering / A2P Rejection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MEDIUM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A2P 10DLC Standard Brand registered; CTIA opt-out via STOP processed at carrier level.</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CPRA ADMT Violation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System prohibited from significant decision-making; ADMT trigger not activated. Full compliance deadline April 1, 2027.</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Data Exfiltration / Breach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Supabase RLS; API key rotation; n8n webhook auth; AES-256 encryption; PII redaction limits exposure scope.</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TISAX Audit Failure (OEM Mandate)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Vendor SOC 2 artifacts compiled; Vercel TISAX Level 2 certified. Dealership must commission entity-level TISAX audit by Sept 30, 2026.</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MEDIUM</w:t>
            </w:r>
          </w:p>
        </w:tc>
      </w:tr>
    </w:tbl>
    <w:p>
      <w:pPr>
        <w:pStyle w:val="Heading1"/>
        <w:spacing w:before="360" w:after="200"/>
      </w:pPr>
      <w:r>
        <w:rPr>
          <w:rFonts w:ascii="Arial" w:cs="Arial" w:eastAsia="Arial" w:hAnsi="Arial"/>
        </w:rPr>
        <w:t xml:space="preserve">11. Gap Remediation Plan</w:t>
      </w:r>
    </w:p>
    <w:p>
      <w:pPr>
        <w:spacing w:after="120"/>
      </w:pPr>
      <w:r>
        <w:rPr>
          <w:rFonts w:ascii="Arial" w:cs="Arial" w:eastAsia="Arial" w:hAnsi="Arial"/>
          <w:b w:val="false"/>
          <w:bCs w:val="false"/>
          <w:i w:val="false"/>
          <w:iCs w:val="false"/>
          <w:color w:val="2C2C2C"/>
          <w:sz w:val="22"/>
          <w:szCs w:val="22"/>
        </w:rPr>
        <w:t xml:space="preserve">While the architectural design is legally compliant, the following administrative actions are required prior to or concurrent with production operation. Each item represents an open gap that, if unresolved, may impair legal defensibility.</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200"/>
        <w:gridCol w:w="3240"/>
      </w:tblGrid>
      <w:t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Gap / Action Required</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3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Responsible Party / Deadline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[Required but Open] </w:t>
            </w:r>
            <w:r>
              <w:rPr>
                <w:rFonts w:ascii="Arial" w:cs="Arial" w:eastAsia="Arial" w:hAnsi="Arial"/>
                <w:b/>
                <w:bCs/>
                <w:color w:val="2C2C2C"/>
                <w:sz w:val="20"/>
                <w:szCs w:val="20"/>
              </w:rPr>
              <w:t xml:space="preserve">A2P 10DLC Campaign Registration — Vetting Delay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Twilio campaign registration requires manual vetting by TCR, currently taking 10–15 business days. Dealership must submit EIN and messaging flow prior to system testing.</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IT / Operations — Immediately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[Required but Open] </w:t>
            </w:r>
            <w:r>
              <w:rPr>
                <w:rFonts w:ascii="Arial" w:cs="Arial" w:eastAsia="Arial" w:hAnsi="Arial"/>
                <w:b/>
                <w:bCs/>
                <w:color w:val="2C2C2C"/>
                <w:sz w:val="20"/>
                <w:szCs w:val="20"/>
              </w:rPr>
              <w:t xml:space="preserve">Supabase HIPAA BAA Execution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If health-related data (e.g., ADA accommodation requests) may be processed, a BAA must be executed with Supabase (requires Team/Enterprise tier).</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Legal / Compliance — Prior to Launch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[Required but Open] </w:t>
            </w:r>
            <w:r>
              <w:rPr>
                <w:rFonts w:ascii="Arial" w:cs="Arial" w:eastAsia="Arial" w:hAnsi="Arial"/>
                <w:b/>
                <w:bCs/>
                <w:color w:val="2C2C2C"/>
                <w:sz w:val="20"/>
                <w:szCs w:val="20"/>
              </w:rPr>
              <w:t xml:space="preserve">Mercedes-Benz TISAX Level 2 Audit Commission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Vendor SOC 2 reports do not substitute for the dealership’s entity-level ISMS certification. Dealership must engage accredited TISAX auditor.</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Executive / IT — By Sept 30, 2026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[Required but Open] </w:t>
            </w:r>
            <w:r>
              <w:rPr>
                <w:rFonts w:ascii="Arial" w:cs="Arial" w:eastAsia="Arial" w:hAnsi="Arial"/>
                <w:b/>
                <w:bCs/>
                <w:color w:val="2C2C2C"/>
                <w:sz w:val="20"/>
                <w:szCs w:val="20"/>
              </w:rPr>
              <w:t xml:space="preserve">CPRA Data Processing Addendum (DPA) Execution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 1798.140(ag) DPA language must be formally executed (not merely appended) with all vendors. Obtain vendor countersignature.</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Legal — Prior to Launch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A88"/>
                <w:sz w:val="18"/>
                <w:szCs w:val="18"/>
              </w:rPr>
              <w:t xml:space="preserve">[Recommendation] </w:t>
            </w:r>
            <w:r>
              <w:rPr>
                <w:rFonts w:ascii="Arial" w:cs="Arial" w:eastAsia="Arial" w:hAnsi="Arial"/>
                <w:b/>
                <w:bCs/>
                <w:color w:val="2C2C2C"/>
                <w:sz w:val="20"/>
                <w:szCs w:val="20"/>
              </w:rPr>
              <w:t xml:space="preserve">Incident Response Plan — Tabletop Exercise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The updated IR Plan reflecting SB 446 timelines should be validated via tabletop exercise with Legal, IT, and executive stakeholders.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Legal / IT — Within 90 Days of Launch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[Required but Open] </w:t>
            </w:r>
            <w:r>
              <w:rPr>
                <w:rFonts w:ascii="Arial" w:cs="Arial" w:eastAsia="Arial" w:hAnsi="Arial"/>
                <w:b/>
                <w:bCs/>
                <w:color w:val="2C2C2C"/>
                <w:sz w:val="20"/>
                <w:szCs w:val="20"/>
              </w:rPr>
              <w:t xml:space="preserve">n8n 30-Day Auto-Purge Implementation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Scheduled cron job for purging no-consent execution logs is designed but not yet deployed. Must be activated and tested before launch.</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Engineering — Prior to Launch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18"/>
                <w:szCs w:val="18"/>
              </w:rPr>
              <w:t xml:space="preserve">[Implemented but Evidence Needed] </w:t>
            </w:r>
            <w:r>
              <w:rPr>
                <w:rFonts w:ascii="Arial" w:cs="Arial" w:eastAsia="Arial" w:hAnsi="Arial"/>
                <w:b/>
                <w:bCs/>
                <w:color w:val="2C2C2C"/>
                <w:sz w:val="20"/>
                <w:szCs w:val="20"/>
              </w:rPr>
              <w:t xml:space="preserve">Vendor SOC 2 Reports — Formal Collection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SOC 2 Type II reports must be formally requested from Twilio, RetellAI, n8n, and Supabase and filed in the compliance evidence folder.</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Engineering — Within 14 Days</w:t>
            </w:r>
          </w:p>
        </w:tc>
      </w:tr>
    </w:tbl>
    <w:p>
      <w:pPr>
        <w:pStyle w:val="Heading1"/>
        <w:spacing w:before="360" w:after="200"/>
      </w:pPr>
      <w:r>
        <w:rPr>
          <w:rFonts w:ascii="Arial" w:cs="Arial" w:eastAsia="Arial" w:hAnsi="Arial"/>
        </w:rPr>
        <w:t xml:space="preserve">Appendix A: CPRA Data Processing Addendum (DPA) Language</w:t>
      </w:r>
    </w:p>
    <w:p>
      <w:pPr>
        <w:spacing w:after="120"/>
      </w:pPr>
      <w:r>
        <w:rPr>
          <w:rFonts w:ascii="Arial" w:cs="Arial" w:eastAsia="Arial" w:hAnsi="Arial"/>
          <w:b w:val="false"/>
          <w:bCs w:val="false"/>
          <w:i w:val="false"/>
          <w:iCs w:val="false"/>
          <w:color w:val="2C2C2C"/>
          <w:sz w:val="22"/>
          <w:szCs w:val="22"/>
        </w:rPr>
        <w:t xml:space="preserve">To comply with CPRA, specifically Cal. Civ. Code § 1798.140(ag), the following contractual language must be formally executed with all vendor agreements.</w:t>
      </w:r>
    </w:p>
    <w:p>
      <w:pPr>
        <w:pStyle w:val="Heading3"/>
        <w:spacing w:before="200" w:after="120"/>
      </w:pPr>
      <w:r>
        <w:rPr>
          <w:rFonts w:ascii="Arial" w:cs="Arial" w:eastAsia="Arial" w:hAnsi="Arial"/>
        </w:rPr>
        <w:t xml:space="preserve">A.1 Status of the Parties</w:t>
      </w:r>
    </w:p>
    <w:p>
      <w:pPr>
        <w:spacing w:after="120"/>
      </w:pPr>
      <w:r>
        <w:rPr>
          <w:rFonts w:ascii="Arial" w:cs="Arial" w:eastAsia="Arial" w:hAnsi="Arial"/>
          <w:b w:val="false"/>
          <w:bCs w:val="false"/>
          <w:i w:val="false"/>
          <w:iCs w:val="false"/>
          <w:color w:val="2C2C2C"/>
          <w:sz w:val="22"/>
          <w:szCs w:val="22"/>
        </w:rPr>
        <w:t xml:space="preserve">For the purposes of the California Consumer Privacy Act, as amended by the California Privacy Rights Act (collectively, CCPA), Customer (Mercedes of South Bay) acts as the Business and Vendor acts as a Service Provider as those terms are defined under Cal. Civ. Code § 1798.140.</w:t>
      </w:r>
    </w:p>
    <w:p>
      <w:pPr>
        <w:pStyle w:val="Heading3"/>
        <w:spacing w:before="200" w:after="120"/>
      </w:pPr>
      <w:r>
        <w:rPr>
          <w:rFonts w:ascii="Arial" w:cs="Arial" w:eastAsia="Arial" w:hAnsi="Arial"/>
        </w:rPr>
        <w:t xml:space="preserve">A.2 Processing Restrictions</w:t>
      </w:r>
    </w:p>
    <w:p>
      <w:pPr>
        <w:spacing w:after="120"/>
      </w:pPr>
      <w:r>
        <w:rPr>
          <w:rFonts w:ascii="Arial" w:cs="Arial" w:eastAsia="Arial" w:hAnsi="Arial"/>
          <w:b w:val="false"/>
          <w:bCs w:val="false"/>
          <w:i w:val="false"/>
          <w:iCs w:val="false"/>
          <w:color w:val="2C2C2C"/>
          <w:sz w:val="22"/>
          <w:szCs w:val="22"/>
        </w:rPr>
        <w:t xml:space="preserve">Vendor shall not:</w:t>
      </w:r>
    </w:p>
    <w:p>
      <w:pPr>
        <w:pStyle w:val="ListParagraph"/>
        <w:numPr>
          <w:ilvl w:val="0"/>
          <w:numId w:val="2"/>
        </w:numPr>
        <w:spacing w:after="60"/>
      </w:pPr>
      <w:r>
        <w:rPr>
          <w:rFonts w:ascii="Arial" w:cs="Arial" w:eastAsia="Arial" w:hAnsi="Arial"/>
          <w:color w:val="2C2C2C"/>
          <w:sz w:val="20"/>
          <w:szCs w:val="20"/>
        </w:rPr>
        <w:t xml:space="preserve">Sell or Share the Personal Information provided by the Business. (Cal. Civ. Code § 1798.140(ag)(1)(A))</w:t>
      </w:r>
    </w:p>
    <w:p>
      <w:pPr>
        <w:pStyle w:val="ListParagraph"/>
        <w:numPr>
          <w:ilvl w:val="0"/>
          <w:numId w:val="2"/>
        </w:numPr>
        <w:spacing w:after="60"/>
      </w:pPr>
      <w:r>
        <w:rPr>
          <w:rFonts w:ascii="Arial" w:cs="Arial" w:eastAsia="Arial" w:hAnsi="Arial"/>
          <w:color w:val="2C2C2C"/>
          <w:sz w:val="20"/>
          <w:szCs w:val="20"/>
        </w:rPr>
        <w:t xml:space="preserve">Retain, use, or disclose the Personal Information for any purpose other than for the specific business purposes specified in the Master Agreement. (Cal. Civ. Code § 1798.140(ag)(1)(B))</w:t>
      </w:r>
    </w:p>
    <w:p>
      <w:pPr>
        <w:pStyle w:val="ListParagraph"/>
        <w:numPr>
          <w:ilvl w:val="0"/>
          <w:numId w:val="2"/>
        </w:numPr>
        <w:spacing w:after="60"/>
      </w:pPr>
      <w:r>
        <w:rPr>
          <w:rFonts w:ascii="Arial" w:cs="Arial" w:eastAsia="Arial" w:hAnsi="Arial"/>
          <w:color w:val="2C2C2C"/>
          <w:sz w:val="20"/>
          <w:szCs w:val="20"/>
        </w:rPr>
        <w:t xml:space="preserve">Retain, use, or disclose the Personal Information outside of the direct business relationship between the Vendor and the Business. (Cal. Civ. Code § 1798.140(ag)(1)(C))</w:t>
      </w:r>
    </w:p>
    <w:p>
      <w:pPr>
        <w:pStyle w:val="ListParagraph"/>
        <w:numPr>
          <w:ilvl w:val="0"/>
          <w:numId w:val="2"/>
        </w:numPr>
        <w:spacing w:after="60"/>
      </w:pPr>
      <w:r>
        <w:rPr>
          <w:rFonts w:ascii="Arial" w:cs="Arial" w:eastAsia="Arial" w:hAnsi="Arial"/>
          <w:color w:val="2C2C2C"/>
          <w:sz w:val="20"/>
          <w:szCs w:val="20"/>
        </w:rPr>
        <w:t xml:space="preserve">Combine the Personal Information received from the Business with Personal Information received from another entity or collected from Vendor’s own interactions, except as expressly permitted by the CCPA. (Cal. Civ. Code § 1798.140(ag)(1)(D))</w:t>
      </w:r>
    </w:p>
    <w:p>
      <w:pPr>
        <w:pStyle w:val="Heading3"/>
        <w:spacing w:before="200" w:after="120"/>
      </w:pPr>
      <w:r>
        <w:rPr>
          <w:rFonts w:ascii="Arial" w:cs="Arial" w:eastAsia="Arial" w:hAnsi="Arial"/>
        </w:rPr>
        <w:t xml:space="preserve">A.3 Audits and Assessments</w:t>
      </w:r>
    </w:p>
    <w:p>
      <w:pPr>
        <w:spacing w:after="120"/>
      </w:pPr>
      <w:r>
        <w:rPr>
          <w:rFonts w:ascii="Arial" w:cs="Arial" w:eastAsia="Arial" w:hAnsi="Arial"/>
          <w:b w:val="false"/>
          <w:bCs w:val="false"/>
          <w:i w:val="false"/>
          <w:iCs w:val="false"/>
          <w:color w:val="2C2C2C"/>
          <w:sz w:val="22"/>
          <w:szCs w:val="22"/>
        </w:rPr>
        <w:t xml:space="preserve">Vendor grants the Business the right to take reasonable and appropriate steps, including through manual reviews or independent annual audits (e.g., SOC 2 Type II reports), to ensure Vendor uses Personal Information consistently with the Business’s CCPA obligations.</w:t>
      </w:r>
    </w:p>
    <w:p>
      <w:pPr>
        <w:pStyle w:val="Heading3"/>
        <w:spacing w:before="200" w:after="120"/>
      </w:pPr>
      <w:r>
        <w:rPr>
          <w:rFonts w:ascii="Arial" w:cs="Arial" w:eastAsia="Arial" w:hAnsi="Arial"/>
        </w:rPr>
        <w:t xml:space="preserve">A.4 Data Deletion</w:t>
      </w:r>
    </w:p>
    <w:p>
      <w:pPr>
        <w:spacing w:after="120"/>
      </w:pPr>
      <w:r>
        <w:rPr>
          <w:rFonts w:ascii="Arial" w:cs="Arial" w:eastAsia="Arial" w:hAnsi="Arial"/>
          <w:b w:val="false"/>
          <w:bCs w:val="false"/>
          <w:i w:val="false"/>
          <w:iCs w:val="false"/>
          <w:color w:val="2C2C2C"/>
          <w:sz w:val="22"/>
          <w:szCs w:val="22"/>
        </w:rPr>
        <w:t xml:space="preserve">Upon request or termination of the agreement, Vendor shall delete all Personal Information within thirty (30) calendar days, validating the purge of relevant execution logs and database entries with written confirmation to the Business.</w:t>
      </w:r>
    </w:p>
    <w:p>
      <w:pPr>
        <w:pStyle w:val="Heading1"/>
        <w:spacing w:before="360" w:after="200"/>
      </w:pPr>
      <w:r>
        <w:rPr>
          <w:rFonts w:ascii="Arial" w:cs="Arial" w:eastAsia="Arial" w:hAnsi="Arial"/>
        </w:rPr>
        <w:t xml:space="preserve">Appendix B: Primary Sources and Legal Authorities</w:t>
      </w:r>
    </w:p>
    <w:p>
      <w:pPr>
        <w:pStyle w:val="ListParagraph"/>
        <w:numPr>
          <w:ilvl w:val="0"/>
          <w:numId w:val="2"/>
        </w:numPr>
        <w:spacing w:after="60"/>
      </w:pPr>
      <w:r>
        <w:rPr>
          <w:rFonts w:ascii="Arial" w:cs="Arial" w:eastAsia="Arial" w:hAnsi="Arial"/>
          <w:color w:val="2C2C2C"/>
          <w:sz w:val="20"/>
          <w:szCs w:val="20"/>
        </w:rPr>
        <w:t xml:space="preserve">Federal Telecommunications Law: 47 U.S.C. § 227(b)(1) (TCPA); FCC Declaratory Ruling FCC-24-17 (February 2024).</w:t>
      </w:r>
    </w:p>
    <w:p>
      <w:pPr>
        <w:pStyle w:val="ListParagraph"/>
        <w:numPr>
          <w:ilvl w:val="0"/>
          <w:numId w:val="2"/>
        </w:numPr>
        <w:spacing w:after="60"/>
      </w:pPr>
      <w:r>
        <w:rPr>
          <w:rFonts w:ascii="Arial" w:cs="Arial" w:eastAsia="Arial" w:hAnsi="Arial"/>
          <w:color w:val="2C2C2C"/>
          <w:sz w:val="20"/>
          <w:szCs w:val="20"/>
        </w:rPr>
        <w:t xml:space="preserve">California Wiretapping Law: Cal. Penal Code § 632, § 632.7, § 637.2; Smith v. LoanMe, Inc., 11 Cal. 5th 183 (2021).</w:t>
      </w:r>
    </w:p>
    <w:p>
      <w:pPr>
        <w:pStyle w:val="ListParagraph"/>
        <w:numPr>
          <w:ilvl w:val="0"/>
          <w:numId w:val="2"/>
        </w:numPr>
        <w:spacing w:after="60"/>
      </w:pPr>
      <w:r>
        <w:rPr>
          <w:rFonts w:ascii="Arial" w:cs="Arial" w:eastAsia="Arial" w:hAnsi="Arial"/>
          <w:color w:val="2C2C2C"/>
          <w:sz w:val="20"/>
          <w:szCs w:val="20"/>
        </w:rPr>
        <w:t xml:space="preserve">California Privacy Law: Cal. Civ. Code §§ 1798.100 et seq. (CCPA/CPRA); § 1798.140(ag); 11 C.C.R. § 7000 et seq. (CPPA ADMT regulations, effective 2026).</w:t>
      </w:r>
    </w:p>
    <w:p>
      <w:pPr>
        <w:pStyle w:val="ListParagraph"/>
        <w:numPr>
          <w:ilvl w:val="0"/>
          <w:numId w:val="2"/>
        </w:numPr>
        <w:spacing w:after="60"/>
      </w:pPr>
      <w:r>
        <w:rPr>
          <w:rFonts w:ascii="Arial" w:cs="Arial" w:eastAsia="Arial" w:hAnsi="Arial"/>
          <w:color w:val="2C2C2C"/>
          <w:sz w:val="20"/>
          <w:szCs w:val="20"/>
        </w:rPr>
        <w:t xml:space="preserve">California Breach Notification: Cal. Civ. Code § 1798.82, as amended by SB 446 (effective January 1, 2026).</w:t>
      </w:r>
    </w:p>
    <w:p>
      <w:pPr>
        <w:pStyle w:val="ListParagraph"/>
        <w:numPr>
          <w:ilvl w:val="0"/>
          <w:numId w:val="2"/>
        </w:numPr>
        <w:spacing w:after="60"/>
      </w:pPr>
      <w:r>
        <w:rPr>
          <w:rFonts w:ascii="Arial" w:cs="Arial" w:eastAsia="Arial" w:hAnsi="Arial"/>
          <w:color w:val="2C2C2C"/>
          <w:sz w:val="20"/>
          <w:szCs w:val="20"/>
        </w:rPr>
        <w:t xml:space="preserve">Federal Consumer Protection: 15 U.S.C. § 45 (FTC Act, Section 5); FTC Operation AI Comply (September 2024).</w:t>
      </w:r>
    </w:p>
    <w:p>
      <w:pPr>
        <w:pStyle w:val="ListParagraph"/>
        <w:numPr>
          <w:ilvl w:val="0"/>
          <w:numId w:val="2"/>
        </w:numPr>
        <w:spacing w:after="60"/>
      </w:pPr>
      <w:r>
        <w:rPr>
          <w:rFonts w:ascii="Arial" w:cs="Arial" w:eastAsia="Arial" w:hAnsi="Arial"/>
          <w:color w:val="2C2C2C"/>
          <w:sz w:val="20"/>
          <w:szCs w:val="20"/>
        </w:rPr>
        <w:t xml:space="preserve">CTIA Messaging Standards: CTIA Messaging Principles and Best Practices (May 2023 edition).</w:t>
      </w:r>
    </w:p>
    <w:p>
      <w:pPr>
        <w:pStyle w:val="ListParagraph"/>
        <w:numPr>
          <w:ilvl w:val="0"/>
          <w:numId w:val="2"/>
        </w:numPr>
        <w:spacing w:after="60"/>
      </w:pPr>
      <w:r>
        <w:rPr>
          <w:rFonts w:ascii="Arial" w:cs="Arial" w:eastAsia="Arial" w:hAnsi="Arial"/>
          <w:color w:val="2C2C2C"/>
          <w:sz w:val="20"/>
          <w:szCs w:val="20"/>
        </w:rPr>
        <w:t xml:space="preserve">OEM Security Standards: Mercedes-Benz NP.50.14.110 (August 2023); VDA ISA / TISAX Level 2 Assessment Protocol; ISO/IEC 27001:2022.</w:t>
      </w:r>
    </w:p>
    <w:p>
      <w:pPr>
        <w:pStyle w:val="ListParagraph"/>
        <w:numPr>
          <w:ilvl w:val="0"/>
          <w:numId w:val="2"/>
        </w:numPr>
        <w:spacing w:after="60"/>
      </w:pPr>
      <w:r>
        <w:rPr>
          <w:rFonts w:ascii="Arial" w:cs="Arial" w:eastAsia="Arial" w:hAnsi="Arial"/>
          <w:color w:val="2C2C2C"/>
          <w:sz w:val="20"/>
          <w:szCs w:val="20"/>
        </w:rPr>
        <w:t xml:space="preserve">Vendor Documentation: Twilio A2P 10DLC; RetellAI Compliance/PII (docs.retellai.com); Supabase RLS and SOC 2; n8n Cloud Data Management; Google Vertex AI ZDR.</w:t>
      </w:r>
    </w:p>
    <w:p>
      <w:pPr>
        <w:spacing w:after="100"/>
      </w:pPr>
    </w:p>
    <w:p>
      <w:pPr>
        <w:pBdr>
          <w:bottom w:val="single" w:color="C5A55A" w:sz="6" w:space="1"/>
        </w:pBdr>
        <w:spacing w:before="200" w:after="200"/>
      </w:pPr>
    </w:p>
    <w:p>
      <w:pPr>
        <w:shd w:fill="F5F5F0" w:val="clear"/>
        <w:spacing w:after="120"/>
        <w:jc w:val="center"/>
      </w:pPr>
      <w:r>
        <w:rPr>
          <w:rFonts w:ascii="Arial" w:cs="Arial" w:eastAsia="Arial" w:hAnsi="Arial"/>
          <w:b/>
          <w:bCs/>
          <w:color w:val="1B2A4A"/>
          <w:sz w:val="22"/>
          <w:szCs w:val="22"/>
        </w:rPr>
        <w:t xml:space="preserve">CERTIFICATION</w:t>
      </w:r>
    </w:p>
    <w:p>
      <w:pPr>
        <w:spacing w:after="80"/>
        <w:jc w:val="center"/>
      </w:pPr>
      <w:r>
        <w:rPr>
          <w:rFonts w:ascii="Arial" w:cs="Arial" w:eastAsia="Arial" w:hAnsi="Arial"/>
          <w:i/>
          <w:iCs/>
          <w:color w:val="666666"/>
          <w:sz w:val="18"/>
          <w:szCs w:val="18"/>
        </w:rPr>
        <w:t xml:space="preserve">This report was prepared exclusively for the review of authorized legal counsel and IT security stakeholders of Mercedes of South Bay. It is protected in its entirety by the attorney-client privilege and the attorney work product doctrine. Reproduction or distribution without express written authorization is strictly prohibited.</w:t>
      </w:r>
    </w:p>
    <w:p>
      <w:pPr>
        <w:jc w:val="center"/>
      </w:pPr>
      <w:r>
        <w:rPr>
          <w:rFonts w:ascii="Arial" w:cs="Arial" w:eastAsia="Arial" w:hAnsi="Arial"/>
          <w:color w:val="666666"/>
          <w:sz w:val="18"/>
          <w:szCs w:val="18"/>
        </w:rPr>
        <w:t xml:space="preserve">Document Version 2.0  ·  March 15, 2026  ·  Mercedes of South Bay  ·  © 2026 Oraya AI LLC</w:t>
      </w:r>
    </w:p>
    <w:sectPr>
      <w:headerReference w:type="default" r:id="rId6"/>
      <w:footerReference w:type="default" r:id="rId7"/>
      <w:pgSz w:w="12240" w:h="15840" w:orient="portrait"/>
      <w:pgMar w:top="144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2" w:space="4"/>
      </w:pBdr>
      <w:jc w:val="center"/>
    </w:pPr>
    <w:r>
      <w:rPr>
        <w:rFonts w:ascii="Arial" w:cs="Arial" w:eastAsia="Arial" w:hAnsi="Arial"/>
        <w:color w:val="666666"/>
        <w:sz w:val="16"/>
        <w:szCs w:val="16"/>
      </w:rPr>
      <w:t xml:space="preserve">Oraya AI LLC  ·  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pPr>
    <w:r>
      <w:rPr>
        <w:rFonts w:ascii="Arial" w:cs="Arial" w:eastAsia="Arial" w:hAnsi="Arial"/>
        <w:b/>
        <w:bCs/>
        <w:color w:val="1B2A4A"/>
        <w:sz w:val="16"/>
        <w:szCs w:val="16"/>
      </w:rPr>
      <w:t xml:space="preserve">ORAYA AI LLC</w:t>
    </w:r>
    <w:r>
      <w:rPr>
        <w:rFonts w:ascii="Arial" w:cs="Arial" w:eastAsia="Arial" w:hAnsi="Arial"/>
        <w:color w:val="666666"/>
        <w:sz w:val="16"/>
        <w:szCs w:val="16"/>
      </w:rPr>
      <w:t xml:space="preserve">  |  </w:t>
    </w:r>
    <w:r>
      <w:rPr>
        <w:rFonts w:ascii="Arial" w:cs="Arial" w:eastAsia="Arial" w:hAnsi="Arial"/>
        <w:color w:val="666666"/>
        <w:sz w:val="16"/>
        <w:szCs w:val="16"/>
      </w:rPr>
      <w:t xml:space="preserve">Legal &amp; Technical Compliance Verification</w:t>
    </w:r>
    <w:r>
      <w:rPr>
        <w:rFonts w:ascii="Arial" w:cs="Arial" w:eastAsia="Arial" w:hAnsi="Arial"/>
        <w:color w:val="666666"/>
        <w:sz w:val="16"/>
        <w:szCs w:val="16"/>
      </w:rPr>
      <w:t xml:space="preserve">  |  </w:t>
    </w:r>
    <w:r>
      <w:rPr>
        <w:rFonts w:ascii="Arial" w:cs="Arial" w:eastAsia="Arial" w:hAnsi="Arial"/>
        <w:color w:val="CC000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A8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2026-03-15T15:33:08.983Z</dcterms:created>
  <dcterms:modified xsi:type="dcterms:W3CDTF">2026-03-15T15:33:08.983Z</dcterms:modified>
</cp:coreProperties>
</file>

<file path=docProps/custom.xml><?xml version="1.0" encoding="utf-8"?>
<Properties xmlns="http://schemas.openxmlformats.org/officeDocument/2006/custom-properties" xmlns:vt="http://schemas.openxmlformats.org/officeDocument/2006/docPropsVTypes"/>
</file>