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80"/>
        <w:jc w:val="center"/>
      </w:pPr>
      <w:r>
        <w:rPr>
          <w:rFonts w:ascii="Arial" w:cs="Arial" w:eastAsia="Arial" w:hAnsi="Arial"/>
          <w:b/>
          <w:bCs/>
          <w:color w:val="1B2A4A"/>
          <w:sz w:val="56"/>
          <w:szCs w:val="56"/>
        </w:rPr>
        <w:t xml:space="preserve">ORAYA AI LLC</w:t>
      </w:r>
    </w:p>
    <w:p>
      <w:pPr>
        <w:pBdr>
          <w:bottom w:val="single" w:color="C5A55A" w:sz="8" w:space="8"/>
        </w:pBdr>
        <w:spacing w:after="40"/>
        <w:jc w:val="center"/>
      </w:pPr>
      <w:r>
        <w:rPr>
          <w:rFonts w:ascii="Arial" w:cs="Arial" w:eastAsia="Arial" w:hAnsi="Arial"/>
          <w:i/>
          <w:iCs/>
          <w:color w:val="C5A55A"/>
          <w:sz w:val="24"/>
          <w:szCs w:val="24"/>
        </w:rPr>
        <w:t xml:space="preserve">Intelligent Voice Infrastructure</w:t>
      </w:r>
    </w:p>
    <w:p>
      <w:pPr>
        <w:spacing w:after="100"/>
      </w:pPr>
    </w:p>
    <w:p>
      <w:pPr>
        <w:spacing w:after="100"/>
      </w:pPr>
    </w:p>
    <w:p>
      <w:pPr>
        <w:spacing w:after="200"/>
        <w:jc w:val="center"/>
      </w:pPr>
      <w:r>
        <w:rPr>
          <w:rFonts w:ascii="Arial" w:cs="Arial" w:eastAsia="Arial" w:hAnsi="Arial"/>
          <w:b/>
          <w:bCs/>
          <w:color w:val="1B2A4A"/>
          <w:sz w:val="44"/>
          <w:szCs w:val="44"/>
        </w:rPr>
        <w:t xml:space="preserve">MERCEDES OF SOUTH BAY</w:t>
      </w:r>
    </w:p>
    <w:p>
      <w:pPr>
        <w:spacing w:after="60"/>
        <w:jc w:val="center"/>
      </w:pPr>
      <w:r>
        <w:rPr>
          <w:rFonts w:ascii="Arial" w:cs="Arial" w:eastAsia="Arial" w:hAnsi="Arial"/>
          <w:color w:val="2E5A88"/>
          <w:sz w:val="32"/>
          <w:szCs w:val="32"/>
        </w:rPr>
        <w:t xml:space="preserve">PILOT PROPOSAL &amp;</w:t>
      </w:r>
    </w:p>
    <w:p>
      <w:pPr>
        <w:spacing w:after="200"/>
        <w:jc w:val="center"/>
      </w:pPr>
      <w:r>
        <w:rPr>
          <w:rFonts w:ascii="Arial" w:cs="Arial" w:eastAsia="Arial" w:hAnsi="Arial"/>
          <w:color w:val="2E5A88"/>
          <w:sz w:val="32"/>
          <w:szCs w:val="32"/>
        </w:rPr>
        <w:t xml:space="preserve">EXECUTION MASTER BRIEF</w:t>
      </w:r>
    </w:p>
    <w:p>
      <w:pPr>
        <w:pBdr>
          <w:bottom w:val="single" w:color="C5A55A" w:sz="6" w:space="1"/>
        </w:pBdr>
        <w:spacing w:before="200" w:after="200"/>
      </w:pPr>
    </w:p>
    <w:p>
      <w:pPr>
        <w:spacing w:after="60"/>
        <w:jc w:val="center"/>
      </w:pPr>
      <w:r>
        <w:rPr>
          <w:rFonts w:ascii="Arial" w:cs="Arial" w:eastAsia="Arial" w:hAnsi="Arial"/>
          <w:b/>
          <w:bCs/>
          <w:color w:val="CC0000"/>
          <w:sz w:val="22"/>
          <w:szCs w:val="22"/>
        </w:rPr>
        <w:t xml:space="preserve">INTERNAL / RESTRICTED</w:t>
      </w:r>
    </w:p>
    <w:p>
      <w:pPr>
        <w:spacing w:after="60"/>
        <w:jc w:val="center"/>
      </w:pPr>
      <w:r>
        <w:rPr>
          <w:rFonts w:ascii="Arial" w:cs="Arial" w:eastAsia="Arial" w:hAnsi="Arial"/>
          <w:color w:val="666666"/>
          <w:sz w:val="22"/>
          <w:szCs w:val="22"/>
        </w:rPr>
        <w:t xml:space="preserve">Operation South Bay</w:t>
      </w:r>
    </w:p>
    <w:p>
      <w:pPr>
        <w:spacing w:after="60"/>
        <w:jc w:val="center"/>
      </w:pPr>
      <w:r>
        <w:rPr>
          <w:rFonts w:ascii="Arial" w:cs="Arial" w:eastAsia="Arial" w:hAnsi="Arial"/>
          <w:color w:val="666666"/>
          <w:sz w:val="22"/>
          <w:szCs w:val="22"/>
        </w:rPr>
        <w:t xml:space="preserve">March 15, 2026  |  Version 2.0</w:t>
      </w:r>
    </w:p>
    <w:p>
      <w:pPr>
        <w:spacing w:after="60"/>
        <w:jc w:val="center"/>
      </w:pPr>
      <w:r>
        <w:rPr>
          <w:rFonts w:ascii="Arial" w:cs="Arial" w:eastAsia="Arial" w:hAnsi="Arial"/>
          <w:color w:val="666666"/>
          <w:sz w:val="20"/>
          <w:szCs w:val="20"/>
        </w:rPr>
        <w:t xml:space="preserve">Target Client: Mercedes of South Bay (AutoNation Group)</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jc w:val="center"/>
      </w:pPr>
      <w:r>
        <w:rPr>
          <w:rFonts w:ascii="Arial" w:cs="Arial" w:eastAsia="Arial" w:hAnsi="Arial"/>
          <w:color w:val="666666"/>
          <w:sz w:val="18"/>
          <w:szCs w:val="18"/>
        </w:rPr>
        <w:t xml:space="preserve">Oraya AI LLC  ·  California  ·  orayalabs.ai</w:t>
      </w:r>
    </w:p>
    <w:p>
      <w:pPr>
        <w:sectPr>
          <w:pgSz w:w="12240" w:h="15840" w:orient="portrait"/>
          <w:pgMar w:top="720" w:right="1080" w:bottom="720" w:left="108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rPr>
          <w:rFonts w:ascii="Arial" w:cs="Arial" w:eastAsia="Arial" w:hAnsi="Arial"/>
        </w:rPr>
        <w:t xml:space="preserve">1. Executive Context</w:t>
      </w:r>
    </w:p>
    <w:p>
      <w:pPr>
        <w:spacing w:after="120"/>
      </w:pPr>
      <w:r>
        <w:rPr>
          <w:rFonts w:ascii="Arial" w:cs="Arial" w:eastAsia="Arial" w:hAnsi="Arial"/>
          <w:b w:val="false"/>
          <w:bCs w:val="false"/>
          <w:i w:val="false"/>
          <w:iCs w:val="false"/>
          <w:color w:val="2C2C2C"/>
          <w:sz w:val="22"/>
          <w:szCs w:val="22"/>
        </w:rPr>
        <w:t xml:space="preserve">This document constitutes the internal command brief for Operation South Bay — Oraya AI LLC’s first enterprise pilot engagement. The target is Mercedes of South Bay, a franchised dealership within the AutoNation Group, the largest automotive retail group in North America with 323 dealerships across 20 states.</w:t>
      </w:r>
    </w:p>
    <w:p>
      <w:pPr>
        <w:spacing w:after="120"/>
      </w:pPr>
      <w:r>
        <w:rPr>
          <w:rFonts w:ascii="Arial" w:cs="Arial" w:eastAsia="Arial" w:hAnsi="Arial"/>
          <w:b w:val="false"/>
          <w:bCs w:val="false"/>
          <w:i w:val="false"/>
          <w:iCs w:val="false"/>
          <w:color w:val="2C2C2C"/>
          <w:sz w:val="22"/>
          <w:szCs w:val="22"/>
        </w:rPr>
        <w:t xml:space="preserve">This is not a pilot proposal in isolation. It is the opening move in a three-phase commercial strategy: (1) secure a 30-day pilot at a single rooftop, (2) convert the pilot into a 2-year dealership-level SLA, and (3) escalate to an AutoNation corporate Master Service Agreement covering the broader dealer network.</w:t>
      </w:r>
    </w:p>
    <w:p>
      <w:pPr>
        <w:spacing w:after="120"/>
      </w:pPr>
      <w:r>
        <w:rPr>
          <w:rFonts w:ascii="Arial" w:cs="Arial" w:eastAsia="Arial" w:hAnsi="Arial"/>
          <w:b w:val="false"/>
          <w:bCs w:val="false"/>
          <w:i w:val="false"/>
          <w:iCs w:val="false"/>
          <w:color w:val="2C2C2C"/>
          <w:sz w:val="22"/>
          <w:szCs w:val="22"/>
        </w:rPr>
        <w:t xml:space="preserve">The standard we are operating to is not “good startup output.” The standard is: every document, every configuration screenshot, every compliance citation must be presentable to Mercedes of South Bay counsel, AutoNation IT leadership, and executive management without revision. AutoNation’s CISO (Ken Athanasiou, since 2014) and CIO (Christos Kotsakis, ex-IBM/PwC) expect enterprise-grade vendor documentation. We will meet that expectation.</w:t>
      </w:r>
    </w:p>
    <w:p>
      <w:pPr>
        <w:spacing w:after="80"/>
      </w:pPr>
      <w:r>
        <w:rPr>
          <w:rFonts w:ascii="Arial" w:cs="Arial" w:eastAsia="Arial" w:hAnsi="Arial"/>
          <w:b/>
          <w:bCs/>
          <w:color w:val="2C2C2C"/>
          <w:sz w:val="22"/>
          <w:szCs w:val="22"/>
        </w:rPr>
        <w:t xml:space="preserve">Recommended Action: </w:t>
      </w:r>
      <w:r>
        <w:rPr>
          <w:rFonts w:ascii="Arial" w:cs="Arial" w:eastAsia="Arial" w:hAnsi="Arial"/>
          <w:color w:val="2C2C2C"/>
          <w:sz w:val="22"/>
          <w:szCs w:val="22"/>
        </w:rPr>
        <w:t xml:space="preserve">Treat this brief as the single source of truth for all pre-send preparation. Every team member should read Sections 8–11 before performing any deliverable work.</w:t>
      </w:r>
    </w:p>
    <w:p>
      <w:pPr>
        <w:pStyle w:val="Heading1"/>
        <w:spacing w:before="300" w:after="150"/>
      </w:pPr>
      <w:r>
        <w:rPr>
          <w:rFonts w:ascii="Arial" w:cs="Arial" w:eastAsia="Arial" w:hAnsi="Arial"/>
        </w:rPr>
        <w:t xml:space="preserve">2. Objective and Success Definition</w:t>
      </w:r>
    </w:p>
    <w:p>
      <w:pPr>
        <w:pStyle w:val="Heading3"/>
        <w:spacing w:before="300" w:after="150"/>
      </w:pPr>
      <w:r>
        <w:rPr>
          <w:rFonts w:ascii="Arial" w:cs="Arial" w:eastAsia="Arial" w:hAnsi="Arial"/>
        </w:rPr>
        <w:t xml:space="preserve">Primary Objective</w:t>
      </w:r>
    </w:p>
    <w:p>
      <w:pPr>
        <w:spacing w:after="120"/>
      </w:pPr>
      <w:r>
        <w:rPr>
          <w:rFonts w:ascii="Arial" w:cs="Arial" w:eastAsia="Arial" w:hAnsi="Arial"/>
          <w:b w:val="false"/>
          <w:bCs w:val="false"/>
          <w:i w:val="false"/>
          <w:iCs w:val="false"/>
          <w:color w:val="2C2C2C"/>
          <w:sz w:val="22"/>
          <w:szCs w:val="22"/>
        </w:rPr>
        <w:t xml:space="preserve">Secure a 30-day no-cost pilot deployment of the Oraya AI voice platform at Mercedes of South Bay, Torrance, California. Demonstrate measurable improvement in lead response time, appointment booking rate, and after-hours coverage.</w:t>
      </w:r>
    </w:p>
    <w:p>
      <w:pPr>
        <w:pStyle w:val="Heading3"/>
        <w:spacing w:before="300" w:after="150"/>
      </w:pPr>
      <w:r>
        <w:rPr>
          <w:rFonts w:ascii="Arial" w:cs="Arial" w:eastAsia="Arial" w:hAnsi="Arial"/>
        </w:rPr>
        <w:t xml:space="preserve">Success Metrics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24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c>
          <w:tcPr>
            <w:tcW w:type="dxa" w:w="2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Benchmark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Inbound Call Handling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95% answered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Agent logs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Outbound Contact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70% reach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Call disposition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Appointment Booking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25%+ conversion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Dashboard data</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Customer Satisfaction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4.0/5.0 avg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Post-call survey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Admin Time Savings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10+ hrs/week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Staff survey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System Uptime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99.5%+ availability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Monitoring logs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Compliance Adherence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Zero violations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Audit review</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
            </w:r>
          </w:p>
        </w:tc>
      </w:tr>
    </w:tbl>
    <w:p>
      <w:pPr>
        <w:spacing w:after="100"/>
      </w:pPr>
    </w:p>
    <w:p>
      <w:pPr>
        <w:pStyle w:val="Heading3"/>
        <w:spacing w:before="300" w:after="150"/>
      </w:pPr>
      <w:r>
        <w:rPr>
          <w:rFonts w:ascii="Arial" w:cs="Arial" w:eastAsia="Arial" w:hAnsi="Arial"/>
        </w:rPr>
        <w:t xml:space="preserve">Strategic Objectives</w:t>
      </w:r>
    </w:p>
    <w:p>
      <w:pPr>
        <w:pStyle w:val="ListParagraph"/>
        <w:numPr>
          <w:ilvl w:val="0"/>
          <w:numId w:val="2"/>
        </w:numPr>
        <w:spacing w:after="60"/>
      </w:pPr>
      <w:r>
        <w:rPr>
          <w:rFonts w:ascii="Arial" w:cs="Arial" w:eastAsia="Arial" w:hAnsi="Arial"/>
          <w:color w:val="2C2C2C"/>
          <w:sz w:val="20"/>
          <w:szCs w:val="20"/>
        </w:rPr>
        <w:t xml:space="preserve">Convert pilot success into a 2-year dealership SLA ($1,500–$2,500/month)</w:t>
      </w:r>
    </w:p>
    <w:p>
      <w:pPr>
        <w:pStyle w:val="ListParagraph"/>
        <w:numPr>
          <w:ilvl w:val="0"/>
          <w:numId w:val="2"/>
        </w:numPr>
        <w:spacing w:after="60"/>
      </w:pPr>
      <w:r>
        <w:rPr>
          <w:rFonts w:ascii="Arial" w:cs="Arial" w:eastAsia="Arial" w:hAnsi="Arial"/>
          <w:color w:val="2C2C2C"/>
          <w:sz w:val="20"/>
          <w:szCs w:val="20"/>
        </w:rPr>
        <w:t xml:space="preserve">Generate a referenceable case study for the Mercedes-Benz dealer network</w:t>
      </w:r>
    </w:p>
    <w:p>
      <w:pPr>
        <w:pStyle w:val="ListParagraph"/>
        <w:numPr>
          <w:ilvl w:val="0"/>
          <w:numId w:val="2"/>
        </w:numPr>
        <w:spacing w:after="60"/>
      </w:pPr>
      <w:r>
        <w:rPr>
          <w:rFonts w:ascii="Arial" w:cs="Arial" w:eastAsia="Arial" w:hAnsi="Arial"/>
          <w:color w:val="2C2C2C"/>
          <w:sz w:val="20"/>
          <w:szCs w:val="20"/>
        </w:rPr>
        <w:t xml:space="preserve">Establish vendor relationship at AutoNation corporate level (CISO: Ken Athanasiou, CIO: Christos Kotsakis)</w:t>
      </w:r>
    </w:p>
    <w:p>
      <w:pPr>
        <w:pStyle w:val="ListParagraph"/>
        <w:numPr>
          <w:ilvl w:val="0"/>
          <w:numId w:val="2"/>
        </w:numPr>
        <w:spacing w:after="60"/>
      </w:pPr>
      <w:r>
        <w:rPr>
          <w:rFonts w:ascii="Arial" w:cs="Arial" w:eastAsia="Arial" w:hAnsi="Arial"/>
          <w:color w:val="2C2C2C"/>
          <w:sz w:val="20"/>
          <w:szCs w:val="20"/>
        </w:rPr>
        <w:t xml:space="preserve">Position Oraya AI as the compliance-first voice infrastructure partner for luxury automotive</w:t>
      </w:r>
    </w:p>
    <w:p>
      <w:pPr>
        <w:pStyle w:val="Heading1"/>
        <w:spacing w:before="300" w:after="150"/>
      </w:pPr>
      <w:r>
        <w:rPr>
          <w:rFonts w:ascii="Arial" w:cs="Arial" w:eastAsia="Arial" w:hAnsi="Arial"/>
        </w:rPr>
        <w:t xml:space="preserve">3. Source-Document Reconciliation Summary</w:t>
      </w:r>
    </w:p>
    <w:p>
      <w:pPr>
        <w:spacing w:after="120"/>
      </w:pPr>
      <w:r>
        <w:rPr>
          <w:rFonts w:ascii="Arial" w:cs="Arial" w:eastAsia="Arial" w:hAnsi="Arial"/>
          <w:b w:val="false"/>
          <w:bCs w:val="false"/>
          <w:i w:val="false"/>
          <w:iCs w:val="false"/>
          <w:color w:val="2C2C2C"/>
          <w:sz w:val="22"/>
          <w:szCs w:val="22"/>
        </w:rPr>
        <w:t xml:space="preserve">Two baseline documents were reconciled to produce this brief and the companion Legal &amp; Technical Compliance Report. The following critical corrections and updates were applied:</w:t>
      </w:r>
    </w:p>
    <w:p>
      <w:pPr>
        <w:pStyle w:val="Heading3"/>
        <w:spacing w:before="300" w:after="150"/>
      </w:pPr>
      <w:r>
        <w:rPr>
          <w:rFonts w:ascii="Arial" w:cs="Arial" w:eastAsia="Arial" w:hAnsi="Arial"/>
        </w:rPr>
        <w:t xml:space="preserve">Critical Corrections</w:t>
      </w:r>
    </w:p>
    <w:p>
      <w:pPr>
        <w:pStyle w:val="ListParagraph"/>
        <w:numPr>
          <w:ilvl w:val="0"/>
          <w:numId w:val="2"/>
        </w:numPr>
        <w:spacing w:after="60"/>
      </w:pPr>
      <w:r>
        <w:rPr>
          <w:rFonts w:ascii="Arial" w:cs="Arial" w:eastAsia="Arial" w:hAnsi="Arial"/>
          <w:color w:val="2C2C2C"/>
          <w:sz w:val="20"/>
          <w:szCs w:val="20"/>
        </w:rPr>
        <w:t xml:space="preserve">Vendor name: “Retail.ai” corrected to “RetellAI” throughout all documents. RetellAI is the canonical AI vendor name.</w:t>
      </w:r>
    </w:p>
    <w:p>
      <w:pPr>
        <w:pStyle w:val="ListParagraph"/>
        <w:numPr>
          <w:ilvl w:val="0"/>
          <w:numId w:val="2"/>
        </w:numPr>
        <w:spacing w:after="60"/>
      </w:pPr>
      <w:r>
        <w:rPr>
          <w:rFonts w:ascii="Arial" w:cs="Arial" w:eastAsia="Arial" w:hAnsi="Arial"/>
          <w:color w:val="2C2C2C"/>
          <w:sz w:val="20"/>
          <w:szCs w:val="20"/>
        </w:rPr>
        <w:t xml:space="preserve">Company name: “[Your LLC Name]” replaced with “Oraya AI LLC” throughout.</w:t>
      </w:r>
    </w:p>
    <w:p>
      <w:pPr>
        <w:pStyle w:val="ListParagraph"/>
        <w:numPr>
          <w:ilvl w:val="0"/>
          <w:numId w:val="2"/>
        </w:numPr>
        <w:spacing w:after="60"/>
      </w:pPr>
      <w:r>
        <w:rPr>
          <w:rFonts w:ascii="Arial" w:cs="Arial" w:eastAsia="Arial" w:hAnsi="Arial"/>
          <w:color w:val="2C2C2C"/>
          <w:sz w:val="20"/>
          <w:szCs w:val="20"/>
        </w:rPr>
        <w:t xml:space="preserve">Vendor certifications: RetellAI now confirmed SOC 2 Type I &amp; II, HIPAA, ISO 27001, GDPR, PCI. Source 1’s “TBD” status is outdated.</w:t>
      </w:r>
    </w:p>
    <w:p>
      <w:pPr>
        <w:pStyle w:val="ListParagraph"/>
        <w:numPr>
          <w:ilvl w:val="0"/>
          <w:numId w:val="2"/>
        </w:numPr>
        <w:spacing w:after="60"/>
      </w:pPr>
      <w:r>
        <w:rPr>
          <w:rFonts w:ascii="Arial" w:cs="Arial" w:eastAsia="Arial" w:hAnsi="Arial"/>
          <w:color w:val="2C2C2C"/>
          <w:sz w:val="20"/>
          <w:szCs w:val="20"/>
        </w:rPr>
        <w:t xml:space="preserve">n8n Cloud: Confirmed SOC 2 compliant (cloud-managed). Does NOT hold ISO 27001. Positioned as orchestration layer, not system of record.</w:t>
      </w:r>
    </w:p>
    <w:p>
      <w:pPr>
        <w:pStyle w:val="ListParagraph"/>
        <w:numPr>
          <w:ilvl w:val="0"/>
          <w:numId w:val="2"/>
        </w:numPr>
        <w:spacing w:after="60"/>
      </w:pPr>
      <w:r>
        <w:rPr>
          <w:rFonts w:ascii="Arial" w:cs="Arial" w:eastAsia="Arial" w:hAnsi="Arial"/>
          <w:color w:val="2C2C2C"/>
          <w:sz w:val="20"/>
          <w:szCs w:val="20"/>
        </w:rPr>
        <w:t xml:space="preserve">FCC one-to-one consent rule: Vacated by the Eleventh Circuit on January 26, 2025. No longer in effect. Conservative PEWC posture maintained regardless.</w:t>
      </w:r>
    </w:p>
    <w:p>
      <w:pPr>
        <w:pStyle w:val="Heading3"/>
        <w:spacing w:before="300" w:after="150"/>
      </w:pPr>
      <w:r>
        <w:rPr>
          <w:rFonts w:ascii="Arial" w:cs="Arial" w:eastAsia="Arial" w:hAnsi="Arial"/>
        </w:rPr>
        <w:t xml:space="preserve">Architecture Verified</w:t>
      </w:r>
    </w:p>
    <w:p>
      <w:pPr>
        <w:spacing w:after="120"/>
      </w:pPr>
      <w:r>
        <w:rPr>
          <w:rFonts w:ascii="Arial" w:cs="Arial" w:eastAsia="Arial" w:hAnsi="Arial"/>
          <w:b w:val="false"/>
          <w:bCs w:val="false"/>
          <w:i w:val="false"/>
          <w:iCs w:val="false"/>
          <w:color w:val="2C2C2C"/>
          <w:sz w:val="22"/>
          <w:szCs w:val="22"/>
        </w:rPr>
        <w:t xml:space="preserve">The canonical five-vendor stack is confirmed and consistent across both documents: Twilio (telephony/A2P) → RetellAI (voice AI/PII redaction) → n8n Cloud (orchestration/webhooks) → Supabase (consent log/persistent storage) → Google Vertex AI (admin/ZDR).</w:t>
      </w:r>
    </w:p>
    <w:p>
      <w:pPr>
        <w:spacing w:after="80"/>
      </w:pPr>
      <w:r>
        <w:rPr>
          <w:rFonts w:ascii="Arial" w:cs="Arial" w:eastAsia="Arial" w:hAnsi="Arial"/>
          <w:b/>
          <w:bCs/>
          <w:color w:val="2C2C2C"/>
          <w:sz w:val="22"/>
          <w:szCs w:val="22"/>
        </w:rPr>
        <w:t xml:space="preserve">Recommended Action: </w:t>
      </w:r>
      <w:r>
        <w:rPr>
          <w:rFonts w:ascii="Arial" w:cs="Arial" w:eastAsia="Arial" w:hAnsi="Arial"/>
          <w:color w:val="2C2C2C"/>
          <w:sz w:val="22"/>
          <w:szCs w:val="22"/>
        </w:rPr>
        <w:t xml:space="preserve">No further reconciliation work is needed. Both documents draw from the single source of truth established in this section.</w:t>
      </w:r>
    </w:p>
    <w:p>
      <w:pPr>
        <w:pStyle w:val="Heading1"/>
        <w:spacing w:before="300" w:after="150"/>
      </w:pPr>
      <w:r>
        <w:rPr>
          <w:rFonts w:ascii="Arial" w:cs="Arial" w:eastAsia="Arial" w:hAnsi="Arial"/>
        </w:rPr>
        <w:t xml:space="preserve">4. Current-State System Overview</w:t>
      </w:r>
    </w:p>
    <w:p>
      <w:pPr>
        <w:pStyle w:val="Heading3"/>
        <w:spacing w:before="300" w:after="150"/>
      </w:pPr>
      <w:r>
        <w:rPr>
          <w:rFonts w:ascii="Arial" w:cs="Arial" w:eastAsia="Arial" w:hAnsi="Arial"/>
        </w:rPr>
        <w:t xml:space="preserve">Deployed Technical Stack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40"/>
        <w:gridCol w:w="30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Vendor</w:t>
            </w:r>
          </w:p>
        </w:tc>
        <w:tc>
          <w:tcPr>
            <w:tcW w:type="dxa" w:w="3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Certifications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Telephony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Twilio</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A2P 10DLC, SIP/RTP transport, carrier-level STOP processing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Type II, ISO 27001, PCI DSS Level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Voice 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RetellAI</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STT, LLM dialogue, TTS synthesis, PII redaction, data_storage_setting control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Type I &amp; II, HIPAA, ISO 27001, GDPR, PCI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Orchestration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n8n Cloud</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Post-call webhook, consent verification, purge API, PEWC gate, 30-day log pruning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(cloud), GDPR, AES-256, TLS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Database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Supabase</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Immutable PEWC consent_log, redacted transcripts, RLS enforcement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Type II, HIPAA BAA (Team+), AES-256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Administration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Google Vertex AI</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LLM oversight, admin dashboarding, Zero Data Retention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Type II, ISO 27001, ZDR confirmed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Vercel</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Real-time sync, Supabase email auth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Type II, ISO 27001, TISAX Level 2, PCI DSS v4.0</w:t>
            </w:r>
          </w:p>
        </w:tc>
      </w:tr>
    </w:tbl>
    <w:p>
      <w:pPr>
        <w:spacing w:after="100"/>
      </w:pPr>
    </w:p>
    <w:p>
      <w:pPr>
        <w:pStyle w:val="Heading3"/>
        <w:spacing w:before="300" w:after="150"/>
      </w:pPr>
      <w:r>
        <w:rPr>
          <w:rFonts w:ascii="Arial" w:cs="Arial" w:eastAsia="Arial" w:hAnsi="Arial"/>
        </w:rPr>
        <w:t xml:space="preserve">Data Flow Architecture</w:t>
      </w:r>
    </w:p>
    <w:p>
      <w:pPr>
        <w:spacing w:after="120"/>
      </w:pPr>
      <w:r>
        <w:rPr>
          <w:rFonts w:ascii="Arial" w:cs="Arial" w:eastAsia="Arial" w:hAnsi="Arial"/>
          <w:b w:val="false"/>
          <w:bCs w:val="false"/>
          <w:i w:val="false"/>
          <w:iCs w:val="false"/>
          <w:color w:val="2C2C2C"/>
          <w:sz w:val="22"/>
          <w:szCs w:val="22"/>
        </w:rPr>
        <w:t xml:space="preserve">Customer interaction → Twilio (telephony ingress) → RetellAI (voice processing + PII redaction) → n8n webhook (consent verification checkpoint) → IF NO CONSENT: execution terminates, RetellAI purges audio/transcript via basic_attributes_only → IF CONSENT GRANTED: data classified (appointment booked / callback requested) → Supabase (persistent storage with RLS) → Vercel dashboard (real-time display) → Admin notifications (Gmail for appointments, Twilio SMS for alerts with STOP opt-out).</w:t>
      </w:r>
    </w:p>
    <w:p>
      <w:pPr>
        <w:spacing w:after="80"/>
      </w:pPr>
      <w:r>
        <w:rPr>
          <w:rFonts w:ascii="Arial" w:cs="Arial" w:eastAsia="Arial" w:hAnsi="Arial"/>
          <w:b/>
          <w:bCs/>
          <w:color w:val="2C2C2C"/>
          <w:sz w:val="22"/>
          <w:szCs w:val="22"/>
        </w:rPr>
        <w:t xml:space="preserve">Key Differentiator: </w:t>
      </w:r>
      <w:r>
        <w:rPr>
          <w:rFonts w:ascii="Arial" w:cs="Arial" w:eastAsia="Arial" w:hAnsi="Arial"/>
          <w:color w:val="2C2C2C"/>
          <w:sz w:val="22"/>
          <w:szCs w:val="22"/>
        </w:rPr>
        <w:t xml:space="preserve">Statutory compliance is enforced programmatically at the system level, not through internal policy or human discretion. Non-consented data cannot persist because the architecture prevents it.</w:t>
      </w:r>
    </w:p>
    <w:p>
      <w:pPr>
        <w:pStyle w:val="Heading1"/>
        <w:spacing w:before="300" w:after="150"/>
      </w:pPr>
      <w:r>
        <w:rPr>
          <w:rFonts w:ascii="Arial" w:cs="Arial" w:eastAsia="Arial" w:hAnsi="Arial"/>
        </w:rPr>
        <w:t xml:space="preserve">5. Strategic Positioning Narrative</w:t>
      </w:r>
    </w:p>
    <w:p>
      <w:pPr>
        <w:spacing w:after="120"/>
      </w:pPr>
      <w:r>
        <w:rPr>
          <w:rFonts w:ascii="Arial" w:cs="Arial" w:eastAsia="Arial" w:hAnsi="Arial"/>
          <w:b w:val="false"/>
          <w:bCs w:val="false"/>
          <w:i w:val="false"/>
          <w:iCs w:val="false"/>
          <w:color w:val="2C2C2C"/>
          <w:sz w:val="22"/>
          <w:szCs w:val="22"/>
        </w:rPr>
        <w:t xml:space="preserve">The central challenge for Oraya AI is perception. A dealership evaluating a startup vendor will default to risk-averse skepticism. The positioning must neutralize this by demonstrating that Oraya AI operates at a standard the dealership’s existing vendors have not achieved.</w:t>
      </w:r>
    </w:p>
    <w:p>
      <w:pPr>
        <w:pStyle w:val="Heading3"/>
        <w:spacing w:before="300" w:after="150"/>
      </w:pPr>
      <w:r>
        <w:rPr>
          <w:rFonts w:ascii="Arial" w:cs="Arial" w:eastAsia="Arial" w:hAnsi="Arial"/>
        </w:rPr>
        <w:t xml:space="preserve">Core Positioning Statement</w:t>
      </w:r>
    </w:p>
    <w:p>
      <w:pPr>
        <w:spacing w:after="120"/>
      </w:pPr>
      <w:r>
        <w:rPr>
          <w:rFonts w:ascii="Arial" w:cs="Arial" w:eastAsia="Arial" w:hAnsi="Arial"/>
          <w:b/>
          <w:bCs/>
          <w:i w:val="false"/>
          <w:iCs w:val="false"/>
          <w:color w:val="2C2C2C"/>
          <w:sz w:val="22"/>
          <w:szCs w:val="22"/>
        </w:rPr>
        <w:t xml:space="preserve">Oraya AI is a compliance-first voice infrastructure platform purpose-built for the automotive enterprise. Unlike messaging-only or chat-only competitors, Oraya AI provides full-stack inbound and outbound voice AI with programmatic enforcement of TCPA, CIPA, CPRA, and FTC mandates. Every statutory obligation is enforced at the code level, not the policy level. This is the architecture that dealership counsel and OEM security auditors are looking for.</w:t>
      </w:r>
    </w:p>
    <w:p>
      <w:pPr>
        <w:pStyle w:val="Heading3"/>
        <w:spacing w:before="300" w:after="150"/>
      </w:pPr>
      <w:r>
        <w:rPr>
          <w:rFonts w:ascii="Arial" w:cs="Arial" w:eastAsia="Arial" w:hAnsi="Arial"/>
        </w:rPr>
        <w:t xml:space="preserve">Five Pillars of Differentiation</w:t>
      </w:r>
    </w:p>
    <w:p>
      <w:pPr>
        <w:pStyle w:val="ListParagraph"/>
        <w:numPr>
          <w:ilvl w:val="0"/>
          <w:numId w:val="3"/>
        </w:numPr>
        <w:spacing w:after="60"/>
      </w:pPr>
      <w:r>
        <w:rPr>
          <w:rFonts w:ascii="Arial" w:cs="Arial" w:eastAsia="Arial" w:hAnsi="Arial"/>
          <w:color w:val="2C2C2C"/>
          <w:sz w:val="20"/>
          <w:szCs w:val="20"/>
        </w:rPr>
        <w:t xml:space="preserve">Programmatic Compliance: Consent gating, PII redaction, and non-consent purge are enforced by the system architecture. No human can override them. This eliminates the class-action exposure vector that plagues competitors relying on policy-based compliance.</w:t>
      </w:r>
    </w:p>
    <w:p>
      <w:pPr>
        <w:pStyle w:val="ListParagraph"/>
        <w:numPr>
          <w:ilvl w:val="0"/>
          <w:numId w:val="3"/>
        </w:numPr>
        <w:spacing w:after="60"/>
      </w:pPr>
      <w:r>
        <w:rPr>
          <w:rFonts w:ascii="Arial" w:cs="Arial" w:eastAsia="Arial" w:hAnsi="Arial"/>
          <w:color w:val="2C2C2C"/>
          <w:sz w:val="20"/>
          <w:szCs w:val="20"/>
        </w:rPr>
        <w:t xml:space="preserve">Full-Stack Voice AI: Oraya AI handles both inbound and outbound voice calls with natural language understanding, appointment booking, and human escalation. Competitors like Podium, CarNow, and Dealer.com offer messaging or chat only. Only Conversica competes on voice, and their SOC 2 Type II dates to 2021.</w:t>
      </w:r>
    </w:p>
    <w:p>
      <w:pPr>
        <w:pStyle w:val="ListParagraph"/>
        <w:numPr>
          <w:ilvl w:val="0"/>
          <w:numId w:val="3"/>
        </w:numPr>
        <w:spacing w:after="60"/>
      </w:pPr>
      <w:r>
        <w:rPr>
          <w:rFonts w:ascii="Arial" w:cs="Arial" w:eastAsia="Arial" w:hAnsi="Arial"/>
          <w:color w:val="2C2C2C"/>
          <w:sz w:val="20"/>
          <w:szCs w:val="20"/>
        </w:rPr>
        <w:t xml:space="preserve">TISAX-Ready Vendor Stack: Vercel (dashboard host) holds TISAX Level 2 certification — the automotive-specific security standard. No competitor highlights this. Combined with vendor SOC 2 attestations from Twilio, RetellAI, Supabase, and Google, Oraya AI’s stack produces a ready-made artifact bundle for the dealership’s OEM security audit.</w:t>
      </w:r>
    </w:p>
    <w:p>
      <w:pPr>
        <w:pStyle w:val="ListParagraph"/>
        <w:numPr>
          <w:ilvl w:val="0"/>
          <w:numId w:val="3"/>
        </w:numPr>
        <w:spacing w:after="60"/>
      </w:pPr>
      <w:r>
        <w:rPr>
          <w:rFonts w:ascii="Arial" w:cs="Arial" w:eastAsia="Arial" w:hAnsi="Arial"/>
          <w:color w:val="2C2C2C"/>
          <w:sz w:val="20"/>
          <w:szCs w:val="20"/>
        </w:rPr>
        <w:t xml:space="preserve">Cost Advantage: Infrastructure cost of $30–$40 per month per client versus Podium’s $249–$599 per month. This enables aggressive pilot pricing and high-margin post-pilot contracts.</w:t>
      </w:r>
    </w:p>
    <w:p>
      <w:pPr>
        <w:pStyle w:val="ListParagraph"/>
        <w:numPr>
          <w:ilvl w:val="0"/>
          <w:numId w:val="3"/>
        </w:numPr>
        <w:spacing w:after="60"/>
      </w:pPr>
      <w:r>
        <w:rPr>
          <w:rFonts w:ascii="Arial" w:cs="Arial" w:eastAsia="Arial" w:hAnsi="Arial"/>
          <w:color w:val="2C2C2C"/>
          <w:sz w:val="20"/>
          <w:szCs w:val="20"/>
        </w:rPr>
        <w:t xml:space="preserve">Privacy-by-Design Architecture: Data that should not exist does not exist. Non-consented recordings are purged at the API level. PII is redacted before reaching persistent storage. The dealership’s data is isolated, never aggregated, never sold, and never used for Oraya AI’s marketing.</w:t>
      </w:r>
    </w:p>
    <w:p>
      <w:pPr>
        <w:pStyle w:val="Heading1"/>
        <w:spacing w:before="300" w:after="150"/>
      </w:pPr>
      <w:r>
        <w:rPr>
          <w:rFonts w:ascii="Arial" w:cs="Arial" w:eastAsia="Arial" w:hAnsi="Arial"/>
        </w:rPr>
        <w:t xml:space="preserve">6. Proposal Package Strategy</w:t>
      </w:r>
    </w:p>
    <w:p>
      <w:pPr>
        <w:spacing w:after="120"/>
      </w:pPr>
      <w:r>
        <w:rPr>
          <w:rFonts w:ascii="Arial" w:cs="Arial" w:eastAsia="Arial" w:hAnsi="Arial"/>
          <w:b w:val="false"/>
          <w:bCs w:val="false"/>
          <w:i w:val="false"/>
          <w:iCs w:val="false"/>
          <w:color w:val="2C2C2C"/>
          <w:sz w:val="22"/>
          <w:szCs w:val="22"/>
        </w:rPr>
        <w:t xml:space="preserve">The proposal will be delivered in two waves. The first wave is designed to earn a meeting. The second wave is designed to survive legal and IT diligence.</w:t>
      </w:r>
    </w:p>
    <w:p>
      <w:pPr>
        <w:pStyle w:val="Heading3"/>
        <w:spacing w:before="300" w:after="150"/>
      </w:pPr>
      <w:r>
        <w:rPr>
          <w:rFonts w:ascii="Arial" w:cs="Arial" w:eastAsia="Arial" w:hAnsi="Arial"/>
        </w:rPr>
        <w:t xml:space="preserve">First Wave: Executive Introduction (Sent via Email)</w:t>
      </w:r>
    </w:p>
    <w:p>
      <w:pPr>
        <w:spacing w:after="120"/>
      </w:pPr>
      <w:r>
        <w:rPr>
          <w:rFonts w:ascii="Arial" w:cs="Arial" w:eastAsia="Arial" w:hAnsi="Arial"/>
          <w:b w:val="false"/>
          <w:bCs w:val="false"/>
          <w:i w:val="false"/>
          <w:iCs w:val="false"/>
          <w:color w:val="2C2C2C"/>
          <w:sz w:val="22"/>
          <w:szCs w:val="22"/>
        </w:rPr>
        <w:t xml:space="preserve">The first email contains exactly three attachments. Nothing more. The goal is to appear serious, concise, and professional — not to overwhelm.</w:t>
      </w:r>
    </w:p>
    <w:p>
      <w:pPr>
        <w:pStyle w:val="ListParagraph"/>
        <w:numPr>
          <w:ilvl w:val="0"/>
          <w:numId w:val="3"/>
        </w:numPr>
        <w:spacing w:after="60"/>
      </w:pPr>
      <w:r>
        <w:rPr>
          <w:rFonts w:ascii="Arial" w:cs="Arial" w:eastAsia="Arial" w:hAnsi="Arial"/>
          <w:color w:val="2C2C2C"/>
          <w:sz w:val="20"/>
          <w:szCs w:val="20"/>
        </w:rPr>
        <w:t xml:space="preserve">Executive Proposal Letter (1 page, on Oraya AI letterhead) — introduces the company, states the value proposition, proposes a 30-day no-cost pilot, and requests a meeting.</w:t>
      </w:r>
    </w:p>
    <w:p>
      <w:pPr>
        <w:pStyle w:val="ListParagraph"/>
        <w:numPr>
          <w:ilvl w:val="0"/>
          <w:numId w:val="3"/>
        </w:numPr>
        <w:spacing w:after="60"/>
      </w:pPr>
      <w:r>
        <w:rPr>
          <w:rFonts w:ascii="Arial" w:cs="Arial" w:eastAsia="Arial" w:hAnsi="Arial"/>
          <w:color w:val="2C2C2C"/>
          <w:sz w:val="20"/>
          <w:szCs w:val="20"/>
        </w:rPr>
        <w:t xml:space="preserve">Visual Architecture Diagram (1 page, PDF) — shows the data flow from customer to AI agent to database, with consent checkpoints, encryption indicators, and vendor certification badges. Designed for IT and security reviewers.</w:t>
      </w:r>
    </w:p>
    <w:p>
      <w:pPr>
        <w:pStyle w:val="ListParagraph"/>
        <w:numPr>
          <w:ilvl w:val="0"/>
          <w:numId w:val="3"/>
        </w:numPr>
        <w:spacing w:after="60"/>
      </w:pPr>
      <w:r>
        <w:rPr>
          <w:rFonts w:ascii="Arial" w:cs="Arial" w:eastAsia="Arial" w:hAnsi="Arial"/>
          <w:color w:val="2C2C2C"/>
          <w:sz w:val="20"/>
          <w:szCs w:val="20"/>
        </w:rPr>
        <w:t xml:space="preserve">Condensed Privacy &amp; Compliance Declaration (2–3 pages) — maps each statutory requirement (TCPA, CIPA, CPRA, FTC, SB 446) to the specific technical control that satisfies it. Formal but accessible. Includes retention periods and data ownership commitment.</w:t>
      </w:r>
    </w:p>
    <w:p>
      <w:pPr>
        <w:pStyle w:val="Heading3"/>
        <w:spacing w:before="300" w:after="150"/>
      </w:pPr>
      <w:r>
        <w:rPr>
          <w:rFonts w:ascii="Arial" w:cs="Arial" w:eastAsia="Arial" w:hAnsi="Arial"/>
        </w:rPr>
        <w:t xml:space="preserve">Second Wave: Diligence Package (Sent Upon Request)</w:t>
      </w:r>
    </w:p>
    <w:p>
      <w:pPr>
        <w:spacing w:after="120"/>
      </w:pPr>
      <w:r>
        <w:rPr>
          <w:rFonts w:ascii="Arial" w:cs="Arial" w:eastAsia="Arial" w:hAnsi="Arial"/>
          <w:b w:val="false"/>
          <w:bCs w:val="false"/>
          <w:i w:val="false"/>
          <w:iCs w:val="false"/>
          <w:color w:val="2C2C2C"/>
          <w:sz w:val="22"/>
          <w:szCs w:val="22"/>
        </w:rPr>
        <w:t xml:space="preserve">When the dealership requests deeper documentation — typically after the initial meeting or when counsel gets involved — deliver the full package:</w:t>
      </w:r>
    </w:p>
    <w:p>
      <w:pPr>
        <w:pStyle w:val="ListParagraph"/>
        <w:numPr>
          <w:ilvl w:val="0"/>
          <w:numId w:val="2"/>
        </w:numPr>
        <w:spacing w:after="60"/>
      </w:pPr>
      <w:r>
        <w:rPr>
          <w:rFonts w:ascii="Arial" w:cs="Arial" w:eastAsia="Arial" w:hAnsi="Arial"/>
          <w:color w:val="2C2C2C"/>
          <w:sz w:val="20"/>
          <w:szCs w:val="20"/>
        </w:rPr>
        <w:t xml:space="preserve">Post-Implementation Legal &amp; Technical Compliance Verification Report (Document B)</w:t>
      </w:r>
    </w:p>
    <w:p>
      <w:pPr>
        <w:pStyle w:val="ListParagraph"/>
        <w:numPr>
          <w:ilvl w:val="0"/>
          <w:numId w:val="2"/>
        </w:numPr>
        <w:spacing w:after="60"/>
      </w:pPr>
      <w:r>
        <w:rPr>
          <w:rFonts w:ascii="Arial" w:cs="Arial" w:eastAsia="Arial" w:hAnsi="Arial"/>
          <w:color w:val="2C2C2C"/>
          <w:sz w:val="20"/>
          <w:szCs w:val="20"/>
        </w:rPr>
        <w:t xml:space="preserve">Vendor Certification Bundle (SOC 2 reports from Twilio, RetellAI, n8n, Supabase, Google)</w:t>
      </w:r>
    </w:p>
    <w:p>
      <w:pPr>
        <w:pStyle w:val="ListParagraph"/>
        <w:numPr>
          <w:ilvl w:val="0"/>
          <w:numId w:val="2"/>
        </w:numPr>
        <w:spacing w:after="60"/>
      </w:pPr>
      <w:r>
        <w:rPr>
          <w:rFonts w:ascii="Arial" w:cs="Arial" w:eastAsia="Arial" w:hAnsi="Arial"/>
          <w:color w:val="2C2C2C"/>
          <w:sz w:val="20"/>
          <w:szCs w:val="20"/>
        </w:rPr>
        <w:t xml:space="preserve">A2P 10DLC Implementation Guide for the dealership IT team</w:t>
      </w:r>
    </w:p>
    <w:p>
      <w:pPr>
        <w:pStyle w:val="ListParagraph"/>
        <w:numPr>
          <w:ilvl w:val="0"/>
          <w:numId w:val="2"/>
        </w:numPr>
        <w:spacing w:after="60"/>
      </w:pPr>
      <w:r>
        <w:rPr>
          <w:rFonts w:ascii="Arial" w:cs="Arial" w:eastAsia="Arial" w:hAnsi="Arial"/>
          <w:color w:val="2C2C2C"/>
          <w:sz w:val="20"/>
          <w:szCs w:val="20"/>
        </w:rPr>
        <w:t xml:space="preserve">Pilot Agreement / Statement of Work (3–4 pages)</w:t>
      </w:r>
    </w:p>
    <w:p>
      <w:pPr>
        <w:pStyle w:val="ListParagraph"/>
        <w:numPr>
          <w:ilvl w:val="0"/>
          <w:numId w:val="2"/>
        </w:numPr>
        <w:spacing w:after="60"/>
      </w:pPr>
      <w:r>
        <w:rPr>
          <w:rFonts w:ascii="Arial" w:cs="Arial" w:eastAsia="Arial" w:hAnsi="Arial"/>
          <w:color w:val="2C2C2C"/>
          <w:sz w:val="20"/>
          <w:szCs w:val="20"/>
        </w:rPr>
        <w:t xml:space="preserve">Mutual NDA (if not already signed)</w:t>
      </w:r>
    </w:p>
    <w:p>
      <w:pPr>
        <w:pStyle w:val="ListParagraph"/>
        <w:numPr>
          <w:ilvl w:val="0"/>
          <w:numId w:val="2"/>
        </w:numPr>
        <w:spacing w:after="60"/>
      </w:pPr>
      <w:r>
        <w:rPr>
          <w:rFonts w:ascii="Arial" w:cs="Arial" w:eastAsia="Arial" w:hAnsi="Arial"/>
          <w:color w:val="2C2C2C"/>
          <w:sz w:val="20"/>
          <w:szCs w:val="20"/>
        </w:rPr>
        <w:t xml:space="preserve">Pilot Success Metrics &amp; Timeline (1 page)</w:t>
      </w:r>
    </w:p>
    <w:p>
      <w:pPr>
        <w:spacing w:after="80"/>
      </w:pPr>
      <w:r>
        <w:rPr>
          <w:rFonts w:ascii="Arial" w:cs="Arial" w:eastAsia="Arial" w:hAnsi="Arial"/>
          <w:b/>
          <w:bCs/>
          <w:color w:val="2C2C2C"/>
          <w:sz w:val="22"/>
          <w:szCs w:val="22"/>
        </w:rPr>
        <w:t xml:space="preserve">Recommended Action: </w:t>
      </w:r>
      <w:r>
        <w:rPr>
          <w:rFonts w:ascii="Arial" w:cs="Arial" w:eastAsia="Arial" w:hAnsi="Arial"/>
          <w:color w:val="2C2C2C"/>
          <w:sz w:val="22"/>
          <w:szCs w:val="22"/>
        </w:rPr>
        <w:t xml:space="preserve">Do not send the full diligence package in the first email. It signals desperation, not discipline. Let them ask for it.</w:t>
      </w:r>
    </w:p>
    <w:p>
      <w:pPr>
        <w:pStyle w:val="Heading1"/>
        <w:spacing w:before="300" w:after="150"/>
      </w:pPr>
      <w:r>
        <w:rPr>
          <w:rFonts w:ascii="Arial" w:cs="Arial" w:eastAsia="Arial" w:hAnsi="Arial"/>
        </w:rPr>
        <w:t xml:space="preserve">7. First Email Package — Exactly What to Send</w:t>
      </w:r>
    </w:p>
    <w:p>
      <w:pPr>
        <w:spacing w:after="120"/>
      </w:pPr>
      <w:r>
        <w:rPr>
          <w:rFonts w:ascii="Arial" w:cs="Arial" w:eastAsia="Arial" w:hAnsi="Arial"/>
          <w:b w:val="false"/>
          <w:bCs w:val="false"/>
          <w:i w:val="false"/>
          <w:iCs w:val="false"/>
          <w:color w:val="2C2C2C"/>
          <w:sz w:val="22"/>
          <w:szCs w:val="22"/>
        </w:rPr>
        <w:t xml:space="preserve">The first email is the most important communication Oraya AI will send. It must be precise, professional, and short.</w:t>
      </w:r>
    </w:p>
    <w:p>
      <w:pPr>
        <w:pStyle w:val="Heading3"/>
        <w:spacing w:before="300" w:after="150"/>
      </w:pPr>
      <w:r>
        <w:rPr>
          <w:rFonts w:ascii="Arial" w:cs="Arial" w:eastAsia="Arial" w:hAnsi="Arial"/>
        </w:rPr>
        <w:t xml:space="preserve">Email Structure</w:t>
      </w:r>
    </w:p>
    <w:p>
      <w:pPr>
        <w:spacing w:after="80"/>
      </w:pPr>
      <w:r>
        <w:rPr>
          <w:rFonts w:ascii="Arial" w:cs="Arial" w:eastAsia="Arial" w:hAnsi="Arial"/>
          <w:b/>
          <w:bCs/>
          <w:color w:val="2C2C2C"/>
          <w:sz w:val="22"/>
          <w:szCs w:val="22"/>
        </w:rPr>
        <w:t xml:space="preserve">Subject Line: </w:t>
      </w:r>
      <w:r>
        <w:rPr>
          <w:rFonts w:ascii="Arial" w:cs="Arial" w:eastAsia="Arial" w:hAnsi="Arial"/>
          <w:color w:val="2C2C2C"/>
          <w:sz w:val="22"/>
          <w:szCs w:val="22"/>
        </w:rPr>
        <w:t xml:space="preserve">Mercedes of South Bay — AI Voice Platform Pilot Proposal | Oraya AI</w:t>
      </w:r>
    </w:p>
    <w:p>
      <w:pPr>
        <w:spacing w:after="80"/>
      </w:pPr>
      <w:r>
        <w:rPr>
          <w:rFonts w:ascii="Arial" w:cs="Arial" w:eastAsia="Arial" w:hAnsi="Arial"/>
          <w:b/>
          <w:bCs/>
          <w:color w:val="2C2C2C"/>
          <w:sz w:val="22"/>
          <w:szCs w:val="22"/>
        </w:rPr>
        <w:t xml:space="preserve">Body: </w:t>
      </w:r>
      <w:r>
        <w:rPr>
          <w:rFonts w:ascii="Arial" w:cs="Arial" w:eastAsia="Arial" w:hAnsi="Arial"/>
          <w:color w:val="2C2C2C"/>
          <w:sz w:val="22"/>
          <w:szCs w:val="22"/>
        </w:rPr>
        <w:t xml:space="preserve">3–4 paragraphs maximum. Problem (lead response time), solution (AI voice platform), differentiator (compliance-first architecture), ask (30-minute meeting to demonstrate).</w:t>
      </w:r>
    </w:p>
    <w:p>
      <w:pPr>
        <w:spacing w:after="80"/>
      </w:pPr>
      <w:r>
        <w:rPr>
          <w:rFonts w:ascii="Arial" w:cs="Arial" w:eastAsia="Arial" w:hAnsi="Arial"/>
          <w:b/>
          <w:bCs/>
          <w:color w:val="2C2C2C"/>
          <w:sz w:val="22"/>
          <w:szCs w:val="22"/>
        </w:rPr>
        <w:t xml:space="preserve">Attachments: </w:t>
      </w:r>
      <w:r>
        <w:rPr>
          <w:rFonts w:ascii="Arial" w:cs="Arial" w:eastAsia="Arial" w:hAnsi="Arial"/>
          <w:color w:val="2C2C2C"/>
          <w:sz w:val="22"/>
          <w:szCs w:val="22"/>
        </w:rPr>
        <w:t xml:space="preserve">Three PDFs only:</w:t>
      </w:r>
    </w:p>
    <w:p>
      <w:pPr>
        <w:pStyle w:val="ListParagraph"/>
        <w:numPr>
          <w:ilvl w:val="0"/>
          <w:numId w:val="3"/>
        </w:numPr>
        <w:spacing w:after="60"/>
      </w:pPr>
      <w:r>
        <w:rPr>
          <w:rFonts w:ascii="Arial" w:cs="Arial" w:eastAsia="Arial" w:hAnsi="Arial"/>
          <w:color w:val="2C2C2C"/>
          <w:sz w:val="20"/>
          <w:szCs w:val="20"/>
        </w:rPr>
        <w:t xml:space="preserve">Executive Proposal Letter (on Oraya AI letterhead)</w:t>
      </w:r>
    </w:p>
    <w:p>
      <w:pPr>
        <w:pStyle w:val="ListParagraph"/>
        <w:numPr>
          <w:ilvl w:val="0"/>
          <w:numId w:val="3"/>
        </w:numPr>
        <w:spacing w:after="60"/>
      </w:pPr>
      <w:r>
        <w:rPr>
          <w:rFonts w:ascii="Arial" w:cs="Arial" w:eastAsia="Arial" w:hAnsi="Arial"/>
          <w:color w:val="2C2C2C"/>
          <w:sz w:val="20"/>
          <w:szCs w:val="20"/>
        </w:rPr>
        <w:t xml:space="preserve">Technical Architecture Diagram</w:t>
      </w:r>
    </w:p>
    <w:p>
      <w:pPr>
        <w:pStyle w:val="ListParagraph"/>
        <w:numPr>
          <w:ilvl w:val="0"/>
          <w:numId w:val="3"/>
        </w:numPr>
        <w:spacing w:after="60"/>
      </w:pPr>
      <w:r>
        <w:rPr>
          <w:rFonts w:ascii="Arial" w:cs="Arial" w:eastAsia="Arial" w:hAnsi="Arial"/>
          <w:color w:val="2C2C2C"/>
          <w:sz w:val="20"/>
          <w:szCs w:val="20"/>
        </w:rPr>
        <w:t xml:space="preserve">Privacy &amp; Compliance Declaration</w:t>
      </w:r>
    </w:p>
    <w:p>
      <w:pPr>
        <w:spacing w:after="80"/>
      </w:pPr>
      <w:r>
        <w:rPr>
          <w:rFonts w:ascii="Arial" w:cs="Arial" w:eastAsia="Arial" w:hAnsi="Arial"/>
          <w:b/>
          <w:bCs/>
          <w:color w:val="2C2C2C"/>
          <w:sz w:val="22"/>
          <w:szCs w:val="22"/>
        </w:rPr>
        <w:t xml:space="preserve">Send To: </w:t>
      </w:r>
      <w:r>
        <w:rPr>
          <w:rFonts w:ascii="Arial" w:cs="Arial" w:eastAsia="Arial" w:hAnsi="Arial"/>
          <w:color w:val="2C2C2C"/>
          <w:sz w:val="22"/>
          <w:szCs w:val="22"/>
        </w:rPr>
        <w:t xml:space="preserve">General Manager or Director of Operations. Copy IT Director if known. Do NOT send to corporate AutoNation first — win the dealership, then escalate.</w:t>
      </w:r>
    </w:p>
    <w:p>
      <w:pPr>
        <w:spacing w:after="80"/>
      </w:pPr>
      <w:r>
        <w:rPr>
          <w:rFonts w:ascii="Arial" w:cs="Arial" w:eastAsia="Arial" w:hAnsi="Arial"/>
          <w:b/>
          <w:bCs/>
          <w:color w:val="2C2C2C"/>
          <w:sz w:val="22"/>
          <w:szCs w:val="22"/>
        </w:rPr>
        <w:t xml:space="preserve">Recommended Action: </w:t>
      </w:r>
      <w:r>
        <w:rPr>
          <w:rFonts w:ascii="Arial" w:cs="Arial" w:eastAsia="Arial" w:hAnsi="Arial"/>
          <w:color w:val="2C2C2C"/>
          <w:sz w:val="22"/>
          <w:szCs w:val="22"/>
        </w:rPr>
        <w:t xml:space="preserve">Draft the email body separately. Have it reviewed by at least one person before sending. The email itself is the first impression.</w:t>
      </w:r>
    </w:p>
    <w:p>
      <w:pPr>
        <w:pStyle w:val="Heading1"/>
        <w:spacing w:before="300" w:after="150"/>
      </w:pPr>
      <w:r>
        <w:rPr>
          <w:rFonts w:ascii="Arial" w:cs="Arial" w:eastAsia="Arial" w:hAnsi="Arial"/>
        </w:rPr>
        <w:t xml:space="preserve">8. Document Room Structure</w:t>
      </w:r>
    </w:p>
    <w:p>
      <w:pPr>
        <w:spacing w:after="120"/>
      </w:pPr>
      <w:r>
        <w:rPr>
          <w:rFonts w:ascii="Arial" w:cs="Arial" w:eastAsia="Arial" w:hAnsi="Arial"/>
          <w:b w:val="false"/>
          <w:bCs w:val="false"/>
          <w:i w:val="false"/>
          <w:iCs w:val="false"/>
          <w:color w:val="2C2C2C"/>
          <w:sz w:val="22"/>
          <w:szCs w:val="22"/>
        </w:rPr>
        <w:t xml:space="preserve">All materials related to Operation South Bay should be organized in the following folder structure. This structure will also serve as the basis for the diligence package if AutoNation corporate requests a formal vendor review.</w:t>
      </w:r>
    </w:p>
    <w:p>
      <w:pPr>
        <w:pStyle w:val="ListParagraph"/>
        <w:numPr>
          <w:ilvl w:val="0"/>
          <w:numId w:val="2"/>
        </w:numPr>
        <w:spacing w:after="60"/>
      </w:pPr>
      <w:r>
        <w:rPr>
          <w:rFonts w:ascii="Arial" w:cs="Arial" w:eastAsia="Arial" w:hAnsi="Arial"/>
          <w:color w:val="2C2C2C"/>
          <w:sz w:val="20"/>
          <w:szCs w:val="20"/>
        </w:rPr>
        <w:t xml:space="preserve">Operation-South-Bay/01-First-Send/ — Executive Proposal Letter, Architecture Diagram, Privacy Declaration</w:t>
      </w:r>
    </w:p>
    <w:p>
      <w:pPr>
        <w:pStyle w:val="ListParagraph"/>
        <w:numPr>
          <w:ilvl w:val="0"/>
          <w:numId w:val="2"/>
        </w:numPr>
        <w:spacing w:after="60"/>
      </w:pPr>
      <w:r>
        <w:rPr>
          <w:rFonts w:ascii="Arial" w:cs="Arial" w:eastAsia="Arial" w:hAnsi="Arial"/>
          <w:color w:val="2C2C2C"/>
          <w:sz w:val="20"/>
          <w:szCs w:val="20"/>
        </w:rPr>
        <w:t xml:space="preserve">Operation-South-Bay/02-Diligence-Package/ — Full Compliance Report, Vendor Certifications (subfolder), A2P Guide, Pilot SOW, NDA, Success Metrics</w:t>
      </w:r>
    </w:p>
    <w:p>
      <w:pPr>
        <w:pStyle w:val="ListParagraph"/>
        <w:numPr>
          <w:ilvl w:val="0"/>
          <w:numId w:val="2"/>
        </w:numPr>
        <w:spacing w:after="60"/>
      </w:pPr>
      <w:r>
        <w:rPr>
          <w:rFonts w:ascii="Arial" w:cs="Arial" w:eastAsia="Arial" w:hAnsi="Arial"/>
          <w:color w:val="2C2C2C"/>
          <w:sz w:val="20"/>
          <w:szCs w:val="20"/>
        </w:rPr>
        <w:t xml:space="preserve">Operation-South-Bay/03-Internal/ — This Execution Brief, Reconciliation Memo, Go/No-Go Checklist</w:t>
      </w:r>
    </w:p>
    <w:p>
      <w:pPr>
        <w:pStyle w:val="ListParagraph"/>
        <w:numPr>
          <w:ilvl w:val="0"/>
          <w:numId w:val="2"/>
        </w:numPr>
        <w:spacing w:after="60"/>
      </w:pPr>
      <w:r>
        <w:rPr>
          <w:rFonts w:ascii="Arial" w:cs="Arial" w:eastAsia="Arial" w:hAnsi="Arial"/>
          <w:color w:val="2C2C2C"/>
          <w:sz w:val="20"/>
          <w:szCs w:val="20"/>
        </w:rPr>
        <w:t xml:space="preserve">Operation-South-Bay/04-Evidence/ — Supabase RLS Screenshot, RetellAI PII Toggles Screenshot, n8n Retention Settings Screenshot, DPA Countersigned copies</w:t>
      </w:r>
    </w:p>
    <w:p>
      <w:pPr>
        <w:spacing w:after="80"/>
      </w:pPr>
      <w:r>
        <w:rPr>
          <w:rFonts w:ascii="Arial" w:cs="Arial" w:eastAsia="Arial" w:hAnsi="Arial"/>
          <w:b/>
          <w:bCs/>
          <w:color w:val="2C2C2C"/>
          <w:sz w:val="22"/>
          <w:szCs w:val="22"/>
        </w:rPr>
        <w:t xml:space="preserve">Recommended Action: </w:t>
      </w:r>
      <w:r>
        <w:rPr>
          <w:rFonts w:ascii="Arial" w:cs="Arial" w:eastAsia="Arial" w:hAnsi="Arial"/>
          <w:color w:val="2C2C2C"/>
          <w:sz w:val="22"/>
          <w:szCs w:val="22"/>
        </w:rPr>
        <w:t xml:space="preserve">Create this folder structure immediately. Assign one person to maintain it. Every artifact produced goes into the correct folder before send date.</w:t>
      </w:r>
    </w:p>
    <w:p>
      <w:pPr>
        <w:pStyle w:val="Heading1"/>
        <w:spacing w:before="300" w:after="150"/>
      </w:pPr>
      <w:r>
        <w:rPr>
          <w:rFonts w:ascii="Arial" w:cs="Arial" w:eastAsia="Arial" w:hAnsi="Arial"/>
        </w:rPr>
        <w:t xml:space="preserve">9. Pre-Send Checklist by Owner and Deadline</w:t>
      </w:r>
    </w:p>
    <w:p>
      <w:pPr>
        <w:spacing w:after="120"/>
      </w:pPr>
      <w:r>
        <w:rPr>
          <w:rFonts w:ascii="Arial" w:cs="Arial" w:eastAsia="Arial" w:hAnsi="Arial"/>
          <w:b w:val="false"/>
          <w:bCs w:val="false"/>
          <w:i w:val="false"/>
          <w:iCs w:val="false"/>
          <w:color w:val="2C2C2C"/>
          <w:sz w:val="22"/>
          <w:szCs w:val="22"/>
        </w:rPr>
        <w:t xml:space="preserve">All deadlines are relative to T-0 (target send date for first email). Items marked OPEN must be completed before the go/no-go decision at T-1.</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000"/>
        <w:gridCol w:w="254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Item</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c>
          <w:tcPr>
            <w:tcW w:type="dxa" w:w="25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Request RetellAI SOC 2 Type II report</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Engineering</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T-10 days</w:t>
            </w:r>
          </w:p>
        </w:tc>
        <w:tc>
          <w:tcPr>
            <w:tcW w:type="dxa" w:w="20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Request n8n SOC 2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Engineering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T-10 days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Request Supabase SOC 2 Type II report</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Engineering</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T-10 days</w:t>
            </w:r>
          </w:p>
        </w:tc>
        <w:tc>
          <w:tcPr>
            <w:tcW w:type="dxa" w:w="20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Execute DPA with all vendors (countersigned)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Legal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T-14 days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Screenshot: Supabase RLS active on consent_log</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Engineering</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T-7 days</w:t>
            </w:r>
          </w:p>
        </w:tc>
        <w:tc>
          <w:tcPr>
            <w:tcW w:type="dxa" w:w="20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Screenshot: RetellAI PII redaction toggles 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Engineering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T-7 days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Confirm n8n 30-day auto-purge setting active</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Engineering</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T-7 days</w:t>
            </w:r>
          </w:p>
        </w:tc>
        <w:tc>
          <w:tcPr>
            <w:tcW w:type="dxa" w:w="20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Confirm Supabase region is us-west-1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Engineering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T-7 days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Draft pilot SOW / agreement</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Legal</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T-7 days</w:t>
            </w:r>
          </w:p>
        </w:tc>
        <w:tc>
          <w:tcPr>
            <w:tcW w:type="dxa" w:w="20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Prepare A2P 10DLC guide for dealership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Engineering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T-7 days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Create visual architecture diagram (PDF)</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Engineering</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T-5 days</w:t>
            </w:r>
          </w:p>
        </w:tc>
        <w:tc>
          <w:tcPr>
            <w:tcW w:type="dxa" w:w="20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Draft privacy/compliance declaration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Legal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T-5 days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Finalize executive proposal letter on letterhead</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Founder</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T-3 days</w:t>
            </w:r>
          </w:p>
        </w:tc>
        <w:tc>
          <w:tcPr>
            <w:tcW w:type="dxa" w:w="20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Internal review of full package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T-2 days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Go / No-Go decision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Founder</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T-1 day</w:t>
            </w:r>
          </w:p>
        </w:tc>
        <w:tc>
          <w:tcPr>
            <w:tcW w:type="dxa" w:w="20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CC0000"/>
                <w:sz w:val="20"/>
                <w:szCs w:val="20"/>
              </w:rPr>
              <w:t xml:space="preserve">OPEN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Send first 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Founder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PENDING</w:t>
            </w:r>
          </w:p>
        </w:tc>
      </w:tr>
    </w:tbl>
    <w:p>
      <w:pPr>
        <w:spacing w:after="100"/>
      </w:pPr>
    </w:p>
    <w:p>
      <w:pPr>
        <w:spacing w:after="80"/>
      </w:pPr>
      <w:r>
        <w:rPr>
          <w:rFonts w:ascii="Arial" w:cs="Arial" w:eastAsia="Arial" w:hAnsi="Arial"/>
          <w:b/>
          <w:bCs/>
          <w:color w:val="2C2C2C"/>
          <w:sz w:val="22"/>
          <w:szCs w:val="22"/>
        </w:rPr>
        <w:t xml:space="preserve">Go/No-Go Criteria: </w:t>
      </w:r>
      <w:r>
        <w:rPr>
          <w:rFonts w:ascii="Arial" w:cs="Arial" w:eastAsia="Arial" w:hAnsi="Arial"/>
          <w:color w:val="2C2C2C"/>
          <w:sz w:val="22"/>
          <w:szCs w:val="22"/>
        </w:rPr>
        <w:t xml:space="preserve">All items above T-2 must show COMPLETE. If any vendor SOC 2 report is missing, the privacy declaration must note that vendor certifications are “available upon request under NDA” and the diligence package must include a timeline for delivery.</w:t>
      </w:r>
    </w:p>
    <w:p>
      <w:pPr>
        <w:pStyle w:val="Heading1"/>
        <w:spacing w:before="300" w:after="150"/>
      </w:pPr>
      <w:r>
        <w:rPr>
          <w:rFonts w:ascii="Arial" w:cs="Arial" w:eastAsia="Arial" w:hAnsi="Arial"/>
        </w:rPr>
        <w:t xml:space="preserve">10. Vendor Compliance Library Requirements</w:t>
      </w:r>
    </w:p>
    <w:p>
      <w:pPr>
        <w:spacing w:after="120"/>
      </w:pPr>
      <w:r>
        <w:rPr>
          <w:rFonts w:ascii="Arial" w:cs="Arial" w:eastAsia="Arial" w:hAnsi="Arial"/>
          <w:b w:val="false"/>
          <w:bCs w:val="false"/>
          <w:i w:val="false"/>
          <w:iCs w:val="false"/>
          <w:color w:val="2C2C2C"/>
          <w:sz w:val="22"/>
          <w:szCs w:val="22"/>
        </w:rPr>
        <w:t xml:space="preserve">The following evidence must be collected from each vendor and filed in the 04-Evidence folder before first send. If a report is not yet received, note the request date and expected delivery.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500"/>
        <w:gridCol w:w="254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Vendor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Document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Obtain</w:t>
            </w:r>
          </w:p>
        </w:tc>
        <w:tc>
          <w:tcPr>
            <w:tcW w:type="dxa" w:w="25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Twilio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Type II report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Customer portal / Trust Center</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REQUEST</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Twilio</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ISO 27001 certificate</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Trust Center download</w:t>
            </w:r>
          </w:p>
        </w:tc>
        <w:tc>
          <w:tcPr>
            <w:tcW w:type="dxa" w:w="20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28B22"/>
                <w:sz w:val="20"/>
                <w:szCs w:val="20"/>
              </w:rPr>
              <w:t xml:space="preserve">REQUEST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RetellAI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Type II report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compliance@retellai.com</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REQUEST</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RetellAI</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HIPAA BAA (if needed)</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Sales/compliance contact</w:t>
            </w:r>
          </w:p>
        </w:tc>
        <w:tc>
          <w:tcPr>
            <w:tcW w:type="dxa" w:w="20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28B22"/>
                <w:sz w:val="20"/>
                <w:szCs w:val="20"/>
              </w:rPr>
              <w:t xml:space="preserve">REQUEST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RetellAI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DPA (countersigned)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Legal contact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REQUEST</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n8n</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SOC 2/SOC 3 report</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n8n security page or sales</w:t>
            </w:r>
          </w:p>
        </w:tc>
        <w:tc>
          <w:tcPr>
            <w:tcW w:type="dxa" w:w="20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28B22"/>
                <w:sz w:val="20"/>
                <w:szCs w:val="20"/>
              </w:rPr>
              <w:t xml:space="preserve">REQUEST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n8n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DPA (countersigned)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Legal/sales contact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REQUEST</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Supabase</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SOC 2 Type II report</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Enterprise/Team plan portal</w:t>
            </w:r>
          </w:p>
        </w:tc>
        <w:tc>
          <w:tcPr>
            <w:tcW w:type="dxa" w:w="20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28B22"/>
                <w:sz w:val="20"/>
                <w:szCs w:val="20"/>
              </w:rPr>
              <w:t xml:space="preserve">REQUEST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Supabase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HIPAA BAA (if Team+ 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Dashboard settings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REQUEST</w:t>
            </w:r>
          </w:p>
        </w:tc>
      </w:tr>
      <w:tr>
        <w:tc>
          <w:tcPr>
            <w:tcW w:type="dxa" w:w="35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Google</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Vertex AI ZDR confirmation</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2C2C2C"/>
                <w:sz w:val="20"/>
                <w:szCs w:val="20"/>
              </w:rPr>
              <w:t xml:space="preserve">Console / account team</w:t>
            </w:r>
          </w:p>
        </w:tc>
        <w:tc>
          <w:tcPr>
            <w:tcW w:type="dxa" w:w="20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color w:val="228B22"/>
                <w:sz w:val="20"/>
                <w:szCs w:val="20"/>
              </w:rPr>
              <w:t xml:space="preserve">CONFIRMED</w:t>
            </w:r>
          </w:p>
        </w:tc>
      </w:tr>
    </w:tbl>
    <w:p>
      <w:pPr>
        <w:pStyle w:val="Heading1"/>
        <w:spacing w:before="300" w:after="150"/>
      </w:pPr>
      <w:r>
        <w:rPr>
          <w:rFonts w:ascii="Arial" w:cs="Arial" w:eastAsia="Arial" w:hAnsi="Arial"/>
        </w:rPr>
        <w:t xml:space="preserve">11. Compliance Gaps and Remediation Register</w:t>
      </w:r>
    </w:p>
    <w:p>
      <w:pPr>
        <w:spacing w:after="120"/>
      </w:pPr>
      <w:r>
        <w:rPr>
          <w:rFonts w:ascii="Arial" w:cs="Arial" w:eastAsia="Arial" w:hAnsi="Arial"/>
          <w:b w:val="false"/>
          <w:bCs w:val="false"/>
          <w:i w:val="false"/>
          <w:iCs w:val="false"/>
          <w:color w:val="2C2C2C"/>
          <w:sz w:val="22"/>
          <w:szCs w:val="22"/>
        </w:rPr>
        <w:t xml:space="preserve">The following table identifies every known gap between the current system state and full legal defensibility. Each gap is classified by severity and tied to a specific owner, action, and proof of closure.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000"/>
        <w:gridCol w:w="2000"/>
        <w:gridCol w:w="254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Gap Description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c>
          <w:tcPr>
            <w:tcW w:type="dxa" w:w="25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Proof of Closure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DPA execution with all vendors (CPRA § 1798.140(ag) requires formal countersignature, not just appended language)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Legal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T-14 days</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Countersigned PDFs filed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Dealership A2P 10DLC registration (Mercedes of South Bay must register its own campaign for customer-facing SMS)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Engineering + Dealership 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Before pilot launch</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TCR approval confirmation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30-day auto-purge for no-consent data in n8n (designed but NOT YET IMPLEMENTED as scheduled job)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Engineering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T-7 days</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n8n workflow screenshot showing cron purge active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Automated retention policy for no-consent records across all databases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Engineering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Before pilot launch</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Cron job logs + test purge evidence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TISAX Level 2 audit commission (dealership responsibility, but Oraya AI provides vendor artifact bundle)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Dealership Executive/IT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By Sept 30, 2026</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TISAX auditor engagement letter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Supabase HIPAA BAA execution (required if health-related data such as ADA accommodation requests is processed)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Legal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Before pilot launch</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Executed BAA on file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Incident Response Plan tabletop exercise (SB 446 timelines must be validated with live team walkthrough)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Legal + Engineering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Within 90 days of launch</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Exercise report signed</w:t>
            </w:r>
          </w:p>
        </w:tc>
      </w:tr>
    </w:tbl>
    <w:p>
      <w:pPr>
        <w:pStyle w:val="Heading1"/>
        <w:spacing w:before="300" w:after="150"/>
      </w:pPr>
      <w:r>
        <w:rPr>
          <w:rFonts w:ascii="Arial" w:cs="Arial" w:eastAsia="Arial" w:hAnsi="Arial"/>
        </w:rPr>
        <w:t xml:space="preserve">12. TISAX / Mercedes-Benz Urgency Strategy</w:t>
      </w:r>
    </w:p>
    <w:p>
      <w:pPr>
        <w:spacing w:after="120"/>
      </w:pPr>
      <w:r>
        <w:rPr>
          <w:rFonts w:ascii="Arial" w:cs="Arial" w:eastAsia="Arial" w:hAnsi="Arial"/>
          <w:b w:val="false"/>
          <w:bCs w:val="false"/>
          <w:i w:val="false"/>
          <w:iCs w:val="false"/>
          <w:color w:val="2C2C2C"/>
          <w:sz w:val="22"/>
          <w:szCs w:val="22"/>
        </w:rPr>
        <w:t xml:space="preserve">Mercedes-Benz USA, through standard NP.50.14.110 (August 2023), mandates that all franchised dealerships and their technology contractors establish an Information Security Management System (ISMS) compliant with recognized standards. Dealership communications indicate a target completion date of September 30, 2026 for TISAX Level 2 or ISO 27001 certification.</w:t>
      </w:r>
    </w:p>
    <w:p>
      <w:pPr>
        <w:pStyle w:val="Heading3"/>
        <w:spacing w:before="300" w:after="150"/>
      </w:pPr>
      <w:r>
        <w:rPr>
          <w:rFonts w:ascii="Arial" w:cs="Arial" w:eastAsia="Arial" w:hAnsi="Arial"/>
        </w:rPr>
        <w:t xml:space="preserve">Why This Matters for Oraya AI</w:t>
      </w:r>
    </w:p>
    <w:p>
      <w:pPr>
        <w:spacing w:after="120"/>
      </w:pPr>
      <w:r>
        <w:rPr>
          <w:rFonts w:ascii="Arial" w:cs="Arial" w:eastAsia="Arial" w:hAnsi="Arial"/>
          <w:b w:val="false"/>
          <w:bCs w:val="false"/>
          <w:i w:val="false"/>
          <w:iCs w:val="false"/>
          <w:color w:val="2C2C2C"/>
          <w:sz w:val="22"/>
          <w:szCs w:val="22"/>
        </w:rPr>
        <w:t xml:space="preserve">The TISAX mandate creates a natural urgency that benefits both the dealership and Oraya AI. The dealership must compile an evidence package for its OEM security audit. Oraya AI’s vendor stack produces exactly the artifacts the dealership needs:</w:t>
      </w:r>
    </w:p>
    <w:p>
      <w:pPr>
        <w:pStyle w:val="ListParagraph"/>
        <w:numPr>
          <w:ilvl w:val="0"/>
          <w:numId w:val="2"/>
        </w:numPr>
        <w:spacing w:after="60"/>
      </w:pPr>
      <w:r>
        <w:rPr>
          <w:rFonts w:ascii="Arial" w:cs="Arial" w:eastAsia="Arial" w:hAnsi="Arial"/>
          <w:color w:val="2C2C2C"/>
          <w:sz w:val="20"/>
          <w:szCs w:val="20"/>
        </w:rPr>
        <w:t xml:space="preserve">Twilio: SOC 2 Type II + ISO 27001</w:t>
      </w:r>
    </w:p>
    <w:p>
      <w:pPr>
        <w:pStyle w:val="ListParagraph"/>
        <w:numPr>
          <w:ilvl w:val="0"/>
          <w:numId w:val="2"/>
        </w:numPr>
        <w:spacing w:after="60"/>
      </w:pPr>
      <w:r>
        <w:rPr>
          <w:rFonts w:ascii="Arial" w:cs="Arial" w:eastAsia="Arial" w:hAnsi="Arial"/>
          <w:color w:val="2C2C2C"/>
          <w:sz w:val="20"/>
          <w:szCs w:val="20"/>
        </w:rPr>
        <w:t xml:space="preserve">RetellAI: SOC 2 Type I &amp; II + HIPAA + ISO 27001</w:t>
      </w:r>
    </w:p>
    <w:p>
      <w:pPr>
        <w:pStyle w:val="ListParagraph"/>
        <w:numPr>
          <w:ilvl w:val="0"/>
          <w:numId w:val="2"/>
        </w:numPr>
        <w:spacing w:after="60"/>
      </w:pPr>
      <w:r>
        <w:rPr>
          <w:rFonts w:ascii="Arial" w:cs="Arial" w:eastAsia="Arial" w:hAnsi="Arial"/>
          <w:color w:val="2C2C2C"/>
          <w:sz w:val="20"/>
          <w:szCs w:val="20"/>
        </w:rPr>
        <w:t xml:space="preserve">Supabase: SOC 2 Type II + HIPAA BAA</w:t>
      </w:r>
    </w:p>
    <w:p>
      <w:pPr>
        <w:pStyle w:val="ListParagraph"/>
        <w:numPr>
          <w:ilvl w:val="0"/>
          <w:numId w:val="2"/>
        </w:numPr>
        <w:spacing w:after="60"/>
      </w:pPr>
      <w:r>
        <w:rPr>
          <w:rFonts w:ascii="Arial" w:cs="Arial" w:eastAsia="Arial" w:hAnsi="Arial"/>
          <w:color w:val="2C2C2C"/>
          <w:sz w:val="20"/>
          <w:szCs w:val="20"/>
        </w:rPr>
        <w:t xml:space="preserve">Google: SOC 2 Type II + ISO 27001</w:t>
      </w:r>
    </w:p>
    <w:p>
      <w:pPr>
        <w:pStyle w:val="ListParagraph"/>
        <w:numPr>
          <w:ilvl w:val="0"/>
          <w:numId w:val="2"/>
        </w:numPr>
        <w:spacing w:after="60"/>
      </w:pPr>
      <w:r>
        <w:rPr>
          <w:rFonts w:ascii="Arial" w:cs="Arial" w:eastAsia="Arial" w:hAnsi="Arial"/>
          <w:color w:val="2C2C2C"/>
          <w:sz w:val="20"/>
          <w:szCs w:val="20"/>
        </w:rPr>
        <w:t xml:space="preserve">Vercel: SOC 2 Type II + ISO 27001 + TISAX Level 2 (automotive-specific)</w:t>
      </w:r>
    </w:p>
    <w:p>
      <w:pPr>
        <w:spacing w:after="120"/>
      </w:pPr>
      <w:r>
        <w:rPr>
          <w:rFonts w:ascii="Arial" w:cs="Arial" w:eastAsia="Arial" w:hAnsi="Arial"/>
          <w:b/>
          <w:bCs/>
          <w:i w:val="false"/>
          <w:iCs w:val="false"/>
          <w:color w:val="2C2C2C"/>
          <w:sz w:val="22"/>
          <w:szCs w:val="22"/>
        </w:rPr>
        <w:t xml:space="preserve">Vercel’s TISAX Level 2 certification is particularly significant. It means the dashboard hosting layer — the component most visible to the dealership — has already passed the exact automotive security assessment the dealership itself must undergo.</w:t>
      </w:r>
    </w:p>
    <w:p>
      <w:pPr>
        <w:pStyle w:val="Heading3"/>
        <w:spacing w:before="300" w:after="150"/>
      </w:pPr>
      <w:r>
        <w:rPr>
          <w:rFonts w:ascii="Arial" w:cs="Arial" w:eastAsia="Arial" w:hAnsi="Arial"/>
        </w:rPr>
        <w:t xml:space="preserve">Strategic Positioning Language</w:t>
      </w:r>
    </w:p>
    <w:p>
      <w:pPr>
        <w:spacing w:after="120"/>
      </w:pPr>
      <w:r>
        <w:rPr>
          <w:rFonts w:ascii="Arial" w:cs="Arial" w:eastAsia="Arial" w:hAnsi="Arial"/>
          <w:b w:val="false"/>
          <w:bCs w:val="false"/>
          <w:i w:val="false"/>
          <w:iCs w:val="false"/>
          <w:color w:val="2C2C2C"/>
          <w:sz w:val="22"/>
          <w:szCs w:val="22"/>
        </w:rPr>
        <w:t xml:space="preserve">“Oraya AI doesn’t just help you answer the phone. We help you prepare for your OEM security audit. Our vendor stack produces a ready-made artifact bundle for TISAX Level 2 compliance, including a hosting platform that already holds TISAX certification.”</w:t>
      </w:r>
    </w:p>
    <w:p>
      <w:pPr>
        <w:spacing w:after="80"/>
      </w:pPr>
      <w:r>
        <w:rPr>
          <w:rFonts w:ascii="Arial" w:cs="Arial" w:eastAsia="Arial" w:hAnsi="Arial"/>
          <w:b/>
          <w:bCs/>
          <w:color w:val="2C2C2C"/>
          <w:sz w:val="22"/>
          <w:szCs w:val="22"/>
        </w:rPr>
        <w:t xml:space="preserve">Critical Distinction: </w:t>
      </w:r>
      <w:r>
        <w:rPr>
          <w:rFonts w:ascii="Arial" w:cs="Arial" w:eastAsia="Arial" w:hAnsi="Arial"/>
          <w:color w:val="2C2C2C"/>
          <w:sz w:val="22"/>
          <w:szCs w:val="22"/>
        </w:rPr>
        <w:t xml:space="preserve">Vendor SOC 2 reports are evidence artifacts for the dealership’s TISAX audit, but they do NOT substitute for the dealership’s own entity-level ISMS certification. The dealership must separately commission a TISAX Level 2 external plausibility check. Oraya AI should offer to assist with the vendor documentation component.</w:t>
      </w:r>
    </w:p>
    <w:p>
      <w:pPr>
        <w:spacing w:after="80"/>
      </w:pPr>
      <w:r>
        <w:rPr>
          <w:rFonts w:ascii="Arial" w:cs="Arial" w:eastAsia="Arial" w:hAnsi="Arial"/>
          <w:b/>
          <w:bCs/>
          <w:color w:val="2C2C2C"/>
          <w:sz w:val="22"/>
          <w:szCs w:val="22"/>
        </w:rPr>
        <w:t xml:space="preserve">Recommended Action: </w:t>
      </w:r>
      <w:r>
        <w:rPr>
          <w:rFonts w:ascii="Arial" w:cs="Arial" w:eastAsia="Arial" w:hAnsi="Arial"/>
          <w:color w:val="2C2C2C"/>
          <w:sz w:val="22"/>
          <w:szCs w:val="22"/>
        </w:rPr>
        <w:t xml:space="preserve">Include a one-page “TISAX Readiness Support” section in the first-wave privacy declaration. Frame Oraya AI as a compliance partner, not just a vendor.</w:t>
      </w:r>
    </w:p>
    <w:p>
      <w:pPr>
        <w:pStyle w:val="Heading1"/>
        <w:spacing w:before="300" w:after="150"/>
      </w:pPr>
      <w:r>
        <w:rPr>
          <w:rFonts w:ascii="Arial" w:cs="Arial" w:eastAsia="Arial" w:hAnsi="Arial"/>
        </w:rPr>
        <w:t xml:space="preserve">13. AutoNation Corporate Intelligence Summary</w:t>
      </w:r>
    </w:p>
    <w:p>
      <w:pPr>
        <w:pStyle w:val="Heading3"/>
        <w:spacing w:before="300" w:after="150"/>
      </w:pPr>
      <w:r>
        <w:rPr>
          <w:rFonts w:ascii="Arial" w:cs="Arial" w:eastAsia="Arial" w:hAnsi="Arial"/>
        </w:rPr>
        <w:t xml:space="preserve">Company Profile</w:t>
      </w:r>
    </w:p>
    <w:p>
      <w:pPr>
        <w:pStyle w:val="ListParagraph"/>
        <w:numPr>
          <w:ilvl w:val="0"/>
          <w:numId w:val="2"/>
        </w:numPr>
        <w:spacing w:after="60"/>
      </w:pPr>
      <w:r>
        <w:rPr>
          <w:rFonts w:ascii="Arial" w:cs="Arial" w:eastAsia="Arial" w:hAnsi="Arial"/>
          <w:color w:val="2C2C2C"/>
          <w:sz w:val="20"/>
          <w:szCs w:val="20"/>
        </w:rPr>
        <w:t xml:space="preserve">323 dealerships across 20 states (Texas 20%, Florida 20%, California 13%)</w:t>
      </w:r>
    </w:p>
    <w:p>
      <w:pPr>
        <w:pStyle w:val="ListParagraph"/>
        <w:numPr>
          <w:ilvl w:val="0"/>
          <w:numId w:val="2"/>
        </w:numPr>
        <w:spacing w:after="60"/>
      </w:pPr>
      <w:r>
        <w:rPr>
          <w:rFonts w:ascii="Arial" w:cs="Arial" w:eastAsia="Arial" w:hAnsi="Arial"/>
          <w:color w:val="2C2C2C"/>
          <w:sz w:val="20"/>
          <w:szCs w:val="20"/>
        </w:rPr>
        <w:t xml:space="preserve">Largest automotive retail group in North America</w:t>
      </w:r>
    </w:p>
    <w:p>
      <w:pPr>
        <w:pStyle w:val="ListParagraph"/>
        <w:numPr>
          <w:ilvl w:val="0"/>
          <w:numId w:val="2"/>
        </w:numPr>
        <w:spacing w:after="60"/>
      </w:pPr>
      <w:r>
        <w:rPr>
          <w:rFonts w:ascii="Arial" w:cs="Arial" w:eastAsia="Arial" w:hAnsi="Arial"/>
          <w:color w:val="2C2C2C"/>
          <w:sz w:val="20"/>
          <w:szCs w:val="20"/>
        </w:rPr>
        <w:t xml:space="preserve">Customer 360 platform with real-time data on 9 million customers</w:t>
      </w:r>
    </w:p>
    <w:p>
      <w:pPr>
        <w:pStyle w:val="ListParagraph"/>
        <w:numPr>
          <w:ilvl w:val="0"/>
          <w:numId w:val="2"/>
        </w:numPr>
        <w:spacing w:after="60"/>
      </w:pPr>
      <w:r>
        <w:rPr>
          <w:rFonts w:ascii="Arial" w:cs="Arial" w:eastAsia="Arial" w:hAnsi="Arial"/>
          <w:color w:val="2C2C2C"/>
          <w:sz w:val="20"/>
          <w:szCs w:val="20"/>
        </w:rPr>
        <w:t xml:space="preserve">Approximately 50% of business conducted online via AutoNation Express</w:t>
      </w:r>
    </w:p>
    <w:p>
      <w:pPr>
        <w:pStyle w:val="ListParagraph"/>
        <w:numPr>
          <w:ilvl w:val="0"/>
          <w:numId w:val="2"/>
        </w:numPr>
        <w:spacing w:after="60"/>
      </w:pPr>
      <w:r>
        <w:rPr>
          <w:rFonts w:ascii="Arial" w:cs="Arial" w:eastAsia="Arial" w:hAnsi="Arial"/>
          <w:color w:val="2C2C2C"/>
          <w:sz w:val="20"/>
          <w:szCs w:val="20"/>
        </w:rPr>
        <w:t xml:space="preserve">Expanding to 130+ AutoNation USA used-car stores by end of 2026</w:t>
      </w:r>
    </w:p>
    <w:p>
      <w:pPr>
        <w:pStyle w:val="Heading3"/>
        <w:spacing w:before="300" w:after="150"/>
      </w:pPr>
      <w:r>
        <w:rPr>
          <w:rFonts w:ascii="Arial" w:cs="Arial" w:eastAsia="Arial" w:hAnsi="Arial"/>
        </w:rPr>
        <w:t xml:space="preserve">Technology Leadership</w:t>
      </w:r>
    </w:p>
    <w:p>
      <w:pPr>
        <w:pStyle w:val="ListParagraph"/>
        <w:numPr>
          <w:ilvl w:val="0"/>
          <w:numId w:val="2"/>
        </w:numPr>
        <w:spacing w:after="60"/>
      </w:pPr>
      <w:r>
        <w:rPr>
          <w:rFonts w:ascii="Arial" w:cs="Arial" w:eastAsia="Arial" w:hAnsi="Arial"/>
          <w:color w:val="2C2C2C"/>
          <w:sz w:val="20"/>
          <w:szCs w:val="20"/>
        </w:rPr>
        <w:t xml:space="preserve">CISO: Ken Athanasiou (since August 2014) — long-tenured, security-focused</w:t>
      </w:r>
    </w:p>
    <w:p>
      <w:pPr>
        <w:pStyle w:val="ListParagraph"/>
        <w:numPr>
          <w:ilvl w:val="0"/>
          <w:numId w:val="2"/>
        </w:numPr>
        <w:spacing w:after="60"/>
      </w:pPr>
      <w:r>
        <w:rPr>
          <w:rFonts w:ascii="Arial" w:cs="Arial" w:eastAsia="Arial" w:hAnsi="Arial"/>
          <w:color w:val="2C2C2C"/>
          <w:sz w:val="20"/>
          <w:szCs w:val="20"/>
        </w:rPr>
        <w:t xml:space="preserve">CIO: Christos Kotsakis (ex-Starwood Hotels, IBM, PwC) — expects enterprise-grade documentation</w:t>
      </w:r>
    </w:p>
    <w:p>
      <w:pPr>
        <w:pStyle w:val="ListParagraph"/>
        <w:numPr>
          <w:ilvl w:val="0"/>
          <w:numId w:val="2"/>
        </w:numPr>
        <w:spacing w:after="60"/>
      </w:pPr>
      <w:r>
        <w:rPr>
          <w:rFonts w:ascii="Arial" w:cs="Arial" w:eastAsia="Arial" w:hAnsi="Arial"/>
          <w:color w:val="2C2C2C"/>
          <w:sz w:val="20"/>
          <w:szCs w:val="20"/>
        </w:rPr>
        <w:t xml:space="preserve">Infrastructure: Epsilon data warehouse, AppDynamics monitoring, Pure Storage</w:t>
      </w:r>
    </w:p>
    <w:p>
      <w:pPr>
        <w:pStyle w:val="Heading3"/>
        <w:spacing w:before="300" w:after="150"/>
      </w:pPr>
      <w:r>
        <w:rPr>
          <w:rFonts w:ascii="Arial" w:cs="Arial" w:eastAsia="Arial" w:hAnsi="Arial"/>
        </w:rPr>
        <w:t xml:space="preserve">Decision-Making Structure</w:t>
      </w:r>
    </w:p>
    <w:p>
      <w:pPr>
        <w:spacing w:after="120"/>
      </w:pPr>
      <w:r>
        <w:rPr>
          <w:rFonts w:ascii="Arial" w:cs="Arial" w:eastAsia="Arial" w:hAnsi="Arial"/>
          <w:b w:val="false"/>
          <w:bCs w:val="false"/>
          <w:i w:val="false"/>
          <w:iCs w:val="false"/>
          <w:color w:val="2C2C2C"/>
          <w:sz w:val="22"/>
          <w:szCs w:val="22"/>
        </w:rPr>
        <w:t xml:space="preserve">AutoNation maintains highly centralized IT control. Corporate systems integrate transactions, website behavior, service records, and vehicle ownership data. Individual dealership IT autonomy is limited and subordinate to corporate systems. However, dealership-level vendor decisions for non-core tools (like voice AI) may be possible with GM approval, particularly during a pilot phase.</w:t>
      </w:r>
    </w:p>
    <w:p>
      <w:pPr>
        <w:pStyle w:val="Heading3"/>
        <w:spacing w:before="300" w:after="150"/>
      </w:pPr>
      <w:r>
        <w:rPr>
          <w:rFonts w:ascii="Arial" w:cs="Arial" w:eastAsia="Arial" w:hAnsi="Arial"/>
        </w:rPr>
        <w:t xml:space="preserve">Security Posture</w:t>
      </w:r>
    </w:p>
    <w:p>
      <w:pPr>
        <w:spacing w:after="120"/>
      </w:pPr>
      <w:r>
        <w:rPr>
          <w:rFonts w:ascii="Arial" w:cs="Arial" w:eastAsia="Arial" w:hAnsi="Arial"/>
          <w:b w:val="false"/>
          <w:bCs w:val="false"/>
          <w:i w:val="false"/>
          <w:iCs w:val="false"/>
          <w:color w:val="2C2C2C"/>
          <w:sz w:val="22"/>
          <w:szCs w:val="22"/>
        </w:rPr>
        <w:t xml:space="preserve">No reported data breaches in 2024–2026. Given centralized customer data (9 million records), AutoNation will be highly sensitive to vendor security documentation. Any vendor proposal that reaches corporate will be reviewed by Ken Athanasiou’s team.</w:t>
      </w:r>
    </w:p>
    <w:p>
      <w:pPr>
        <w:spacing w:after="80"/>
      </w:pPr>
      <w:r>
        <w:rPr>
          <w:rFonts w:ascii="Arial" w:cs="Arial" w:eastAsia="Arial" w:hAnsi="Arial"/>
          <w:b/>
          <w:bCs/>
          <w:color w:val="2C2C2C"/>
          <w:sz w:val="22"/>
          <w:szCs w:val="22"/>
        </w:rPr>
        <w:t xml:space="preserve">Recommended Action: </w:t>
      </w:r>
      <w:r>
        <w:rPr>
          <w:rFonts w:ascii="Arial" w:cs="Arial" w:eastAsia="Arial" w:hAnsi="Arial"/>
          <w:color w:val="2C2C2C"/>
          <w:sz w:val="22"/>
          <w:szCs w:val="22"/>
        </w:rPr>
        <w:t xml:space="preserve">Win the dealership first. Build a case study with measurable results. Then request an introduction to the AutoNation corporate technology team. Do not approach corporate cold — the dealership GM is the champion.</w:t>
      </w:r>
    </w:p>
    <w:p>
      <w:pPr>
        <w:pStyle w:val="Heading1"/>
        <w:spacing w:before="300" w:after="150"/>
      </w:pPr>
      <w:r>
        <w:rPr>
          <w:rFonts w:ascii="Arial" w:cs="Arial" w:eastAsia="Arial" w:hAnsi="Arial"/>
        </w:rPr>
        <w:t xml:space="preserve">14. Competitive Positioning Matrix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64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Oraya AI</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Podium</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Fullpath</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Conversica</w:t>
            </w:r>
          </w:p>
        </w:tc>
        <w:tc>
          <w:tcPr>
            <w:tcW w:type="dxa" w:w="1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Dealer.com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Voice AI (Inbound + Outbound)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YES (Jerry 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SOC 2 Type II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Vendor stack: 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Expected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Not confirmed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YES (2021)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Not confirmed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ISO 27001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Vendor stack: 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Not confirmed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YES + ISO 42001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Not confirmed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Not confirmed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TISAX Certification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Vercel: Level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Programmatic Compliance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YES (code-level)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Policy-based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Policy-based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Policy-based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Policy-based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PII Redaction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8B22"/>
                <w:sz w:val="20"/>
                <w:szCs w:val="20"/>
              </w:rPr>
              <w:t xml:space="preserve">Real-time (9 cat.)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Not documented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Not documented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Not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Not documented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Pricing (Monthly)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$1,500–$2,500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$249–$599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Custom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Custom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Not disclosed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Automotive Focus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Luxury / enterprise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Broad SMB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OEM partnerships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Automotive vertical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Cox ecosystem</w:t>
            </w:r>
          </w:p>
        </w:tc>
      </w:tr>
    </w:tbl>
    <w:p>
      <w:pPr>
        <w:spacing w:after="100"/>
      </w:pPr>
    </w:p>
    <w:p>
      <w:pPr>
        <w:pStyle w:val="Heading3"/>
        <w:spacing w:before="300" w:after="150"/>
      </w:pPr>
      <w:r>
        <w:rPr>
          <w:rFonts w:ascii="Arial" w:cs="Arial" w:eastAsia="Arial" w:hAnsi="Arial"/>
        </w:rPr>
        <w:t xml:space="preserve">Key Competitive Takeaway</w:t>
      </w:r>
    </w:p>
    <w:p>
      <w:pPr>
        <w:spacing w:after="120"/>
      </w:pPr>
      <w:r>
        <w:rPr>
          <w:rFonts w:ascii="Arial" w:cs="Arial" w:eastAsia="Arial" w:hAnsi="Arial"/>
          <w:b w:val="false"/>
          <w:bCs w:val="false"/>
          <w:i w:val="false"/>
          <w:iCs w:val="false"/>
          <w:color w:val="2C2C2C"/>
          <w:sz w:val="22"/>
          <w:szCs w:val="22"/>
        </w:rPr>
        <w:t xml:space="preserve">Fullpath is the strongest competitor on paper due to ISO 42001 (AI management systems) certification. However, Fullpath does not offer voice AI — it is a CDP/CRM platform. Conversica offers voice AI but its SOC 2 Type II dates to January 2021 and has not been publicly updated. Podium launched Jerry 2.0 for dealers in January 2026 but lacks documented compliance certifications. No competitor holds TISAX certification in any part of their stack.</w:t>
      </w:r>
    </w:p>
    <w:p>
      <w:pPr>
        <w:spacing w:after="80"/>
      </w:pPr>
      <w:r>
        <w:rPr>
          <w:rFonts w:ascii="Arial" w:cs="Arial" w:eastAsia="Arial" w:hAnsi="Arial"/>
          <w:b/>
          <w:bCs/>
          <w:color w:val="2C2C2C"/>
          <w:sz w:val="22"/>
          <w:szCs w:val="22"/>
        </w:rPr>
        <w:t xml:space="preserve">Recommended Action: </w:t>
      </w:r>
      <w:r>
        <w:rPr>
          <w:rFonts w:ascii="Arial" w:cs="Arial" w:eastAsia="Arial" w:hAnsi="Arial"/>
          <w:color w:val="2C2C2C"/>
          <w:sz w:val="22"/>
          <w:szCs w:val="22"/>
        </w:rPr>
        <w:t xml:space="preserve">Never compete on price. Compete on compliance architecture, voice capability, and TISAX readiness. The dealership is not looking for the cheapest option — they are looking for the option that will not create legal liability.</w:t>
      </w:r>
    </w:p>
    <w:p>
      <w:pPr>
        <w:pStyle w:val="Heading1"/>
        <w:spacing w:before="300" w:after="150"/>
      </w:pPr>
      <w:r>
        <w:rPr>
          <w:rFonts w:ascii="Arial" w:cs="Arial" w:eastAsia="Arial" w:hAnsi="Arial"/>
        </w:rPr>
        <w:t xml:space="preserve">15. Pricing Strategy</w:t>
      </w:r>
    </w:p>
    <w:p>
      <w:pPr>
        <w:pStyle w:val="Heading3"/>
        <w:spacing w:before="300" w:after="150"/>
      </w:pPr>
      <w:r>
        <w:rPr>
          <w:rFonts w:ascii="Arial" w:cs="Arial" w:eastAsia="Arial" w:hAnsi="Arial"/>
        </w:rPr>
        <w:t xml:space="preserve">Pilot Phase (30 Days)</w:t>
      </w:r>
    </w:p>
    <w:p>
      <w:pPr>
        <w:spacing w:after="120"/>
      </w:pPr>
      <w:r>
        <w:rPr>
          <w:rFonts w:ascii="Arial" w:cs="Arial" w:eastAsia="Arial" w:hAnsi="Arial"/>
          <w:b w:val="false"/>
          <w:bCs w:val="false"/>
          <w:i w:val="false"/>
          <w:iCs w:val="false"/>
          <w:color w:val="2C2C2C"/>
          <w:sz w:val="22"/>
          <w:szCs w:val="22"/>
        </w:rPr>
        <w:t xml:space="preserve">No-cost pilot. Zero friction to entry. The objective is to get the system live, generate measurable results, and create switching costs through integration and staff familiarity. A $500 setup fee is acceptable if the dealership insists on a contract with consideration, but the default offer should be no-cost.</w:t>
      </w:r>
    </w:p>
    <w:p>
      <w:pPr>
        <w:pStyle w:val="Heading3"/>
        <w:spacing w:before="300" w:after="150"/>
      </w:pPr>
      <w:r>
        <w:rPr>
          <w:rFonts w:ascii="Arial" w:cs="Arial" w:eastAsia="Arial" w:hAnsi="Arial"/>
        </w:rPr>
        <w:t xml:space="preserve">Post-Pilot Dealership SLA (2-Year Term)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254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Fee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c>
          <w:tcPr>
            <w:tcW w:type="dxa" w:w="25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Margin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$1,500/month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Inbound + outbound voice, SMS, dashboard, support</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~97% ($30–40 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Premium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$2,500/month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Standard + custom integrations, priority support, quarterly compliance review</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~98%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AutoNation MSA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$1,000–$1,500/rooftop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Volume discount for 10+ dealerships</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~96% at scale</w:t>
            </w:r>
          </w:p>
        </w:tc>
      </w:tr>
    </w:tbl>
    <w:p>
      <w:pPr>
        <w:spacing w:after="100"/>
      </w:pPr>
    </w:p>
    <w:p>
      <w:pPr>
        <w:spacing w:after="80"/>
      </w:pPr>
      <w:r>
        <w:rPr>
          <w:rFonts w:ascii="Arial" w:cs="Arial" w:eastAsia="Arial" w:hAnsi="Arial"/>
          <w:b/>
          <w:bCs/>
          <w:color w:val="2C2C2C"/>
          <w:sz w:val="22"/>
          <w:szCs w:val="22"/>
        </w:rPr>
        <w:t xml:space="preserve">Pricing Philosophy: </w:t>
      </w:r>
      <w:r>
        <w:rPr>
          <w:rFonts w:ascii="Arial" w:cs="Arial" w:eastAsia="Arial" w:hAnsi="Arial"/>
          <w:color w:val="2C2C2C"/>
          <w:sz w:val="22"/>
          <w:szCs w:val="22"/>
        </w:rPr>
        <w:t xml:space="preserve">Price reflects enterprise-grade compliance, security infrastructure, and voice AI capability — not infrastructure cost. The $30–40/month actual cost enables extraordinary margins that fund SOC 2 certification, insurance, and growth.</w:t>
      </w:r>
    </w:p>
    <w:p>
      <w:pPr>
        <w:pStyle w:val="Heading1"/>
        <w:spacing w:before="300" w:after="150"/>
      </w:pPr>
      <w:r>
        <w:rPr>
          <w:rFonts w:ascii="Arial" w:cs="Arial" w:eastAsia="Arial" w:hAnsi="Arial"/>
        </w:rPr>
        <w:t xml:space="preserve">16. Insurance Sequencing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400"/>
        <w:gridCol w:w="244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Insurance Type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Coverage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2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 Annual 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Cyber Liability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$1M minimum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Before first send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$2,000–$4,000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Professional Liability / E&amp;O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$1M minimum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Before pilot launch</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$1,500–$3,000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General Liability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$1M/$2M aggregate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Before pilot launch</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$500–$1,500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Increase to $5M (if AutoNation requires)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$5M cyber + E&amp;O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Before post-pilot contract</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$8,000–$15,000</w:t>
            </w:r>
          </w:p>
        </w:tc>
      </w:tr>
    </w:tbl>
    <w:p>
      <w:pPr>
        <w:spacing w:after="100"/>
      </w:pPr>
    </w:p>
    <w:p>
      <w:pPr>
        <w:spacing w:after="80"/>
      </w:pPr>
      <w:r>
        <w:rPr>
          <w:rFonts w:ascii="Arial" w:cs="Arial" w:eastAsia="Arial" w:hAnsi="Arial"/>
          <w:b/>
          <w:bCs/>
          <w:color w:val="2C2C2C"/>
          <w:sz w:val="22"/>
          <w:szCs w:val="22"/>
        </w:rPr>
        <w:t xml:space="preserve">Recommended Action: </w:t>
      </w:r>
      <w:r>
        <w:rPr>
          <w:rFonts w:ascii="Arial" w:cs="Arial" w:eastAsia="Arial" w:hAnsi="Arial"/>
          <w:color w:val="2C2C2C"/>
          <w:sz w:val="22"/>
          <w:szCs w:val="22"/>
        </w:rPr>
        <w:t xml:space="preserve">Obtain quotes for cyber liability and E&amp;O insurance immediately. Include proof of insurance (certificate of insurance) in the second-wave diligence package. AutoNation corporate will almost certainly require it.</w:t>
      </w:r>
    </w:p>
    <w:p>
      <w:pPr>
        <w:pStyle w:val="Heading1"/>
        <w:spacing w:before="300" w:after="150"/>
      </w:pPr>
      <w:r>
        <w:rPr>
          <w:rFonts w:ascii="Arial" w:cs="Arial" w:eastAsia="Arial" w:hAnsi="Arial"/>
        </w:rPr>
        <w:t xml:space="preserve">17. Post-Pilot Contract Conversion Plan</w:t>
      </w:r>
    </w:p>
    <w:p>
      <w:pPr>
        <w:pStyle w:val="Heading3"/>
        <w:spacing w:before="300" w:after="150"/>
      </w:pPr>
      <w:r>
        <w:rPr>
          <w:rFonts w:ascii="Arial" w:cs="Arial" w:eastAsia="Arial" w:hAnsi="Arial"/>
        </w:rPr>
        <w:t xml:space="preserve">Conversion Timeline</w:t>
      </w:r>
    </w:p>
    <w:p>
      <w:pPr>
        <w:pStyle w:val="ListParagraph"/>
        <w:numPr>
          <w:ilvl w:val="0"/>
          <w:numId w:val="2"/>
        </w:numPr>
        <w:spacing w:after="60"/>
      </w:pPr>
      <w:r>
        <w:rPr>
          <w:rFonts w:ascii="Arial" w:cs="Arial" w:eastAsia="Arial" w:hAnsi="Arial"/>
          <w:color w:val="2C2C2C"/>
          <w:sz w:val="20"/>
          <w:szCs w:val="20"/>
        </w:rPr>
        <w:t xml:space="preserve">Week 1: System integration + staff training</w:t>
      </w:r>
    </w:p>
    <w:p>
      <w:pPr>
        <w:pStyle w:val="ListParagraph"/>
        <w:numPr>
          <w:ilvl w:val="0"/>
          <w:numId w:val="2"/>
        </w:numPr>
        <w:spacing w:after="60"/>
      </w:pPr>
      <w:r>
        <w:rPr>
          <w:rFonts w:ascii="Arial" w:cs="Arial" w:eastAsia="Arial" w:hAnsi="Arial"/>
          <w:color w:val="2C2C2C"/>
          <w:sz w:val="20"/>
          <w:szCs w:val="20"/>
        </w:rPr>
        <w:t xml:space="preserve">Weeks 2–3: Active pilot operation + daily monitoring</w:t>
      </w:r>
    </w:p>
    <w:p>
      <w:pPr>
        <w:pStyle w:val="ListParagraph"/>
        <w:numPr>
          <w:ilvl w:val="0"/>
          <w:numId w:val="2"/>
        </w:numPr>
        <w:spacing w:after="60"/>
      </w:pPr>
      <w:r>
        <w:rPr>
          <w:rFonts w:ascii="Arial" w:cs="Arial" w:eastAsia="Arial" w:hAnsi="Arial"/>
          <w:color w:val="2C2C2C"/>
          <w:sz w:val="20"/>
          <w:szCs w:val="20"/>
        </w:rPr>
        <w:t xml:space="preserve">Week 4: Data analysis + pilot review meeting with dealership GM</w:t>
      </w:r>
    </w:p>
    <w:p>
      <w:pPr>
        <w:pStyle w:val="ListParagraph"/>
        <w:numPr>
          <w:ilvl w:val="0"/>
          <w:numId w:val="2"/>
        </w:numPr>
        <w:spacing w:after="60"/>
      </w:pPr>
      <w:r>
        <w:rPr>
          <w:rFonts w:ascii="Arial" w:cs="Arial" w:eastAsia="Arial" w:hAnsi="Arial"/>
          <w:color w:val="2C2C2C"/>
          <w:sz w:val="20"/>
          <w:szCs w:val="20"/>
        </w:rPr>
        <w:t xml:space="preserve">Week 5: Present results, propose 2-year SLA</w:t>
      </w:r>
    </w:p>
    <w:p>
      <w:pPr>
        <w:pStyle w:val="ListParagraph"/>
        <w:numPr>
          <w:ilvl w:val="0"/>
          <w:numId w:val="2"/>
        </w:numPr>
        <w:spacing w:after="60"/>
      </w:pPr>
      <w:r>
        <w:rPr>
          <w:rFonts w:ascii="Arial" w:cs="Arial" w:eastAsia="Arial" w:hAnsi="Arial"/>
          <w:color w:val="2C2C2C"/>
          <w:sz w:val="20"/>
          <w:szCs w:val="20"/>
        </w:rPr>
        <w:t xml:space="preserve">Weeks 6–8: Contract negotiation and execution</w:t>
      </w:r>
    </w:p>
    <w:p>
      <w:pPr>
        <w:pStyle w:val="Heading3"/>
        <w:spacing w:before="300" w:after="150"/>
      </w:pPr>
      <w:r>
        <w:rPr>
          <w:rFonts w:ascii="Arial" w:cs="Arial" w:eastAsia="Arial" w:hAnsi="Arial"/>
        </w:rPr>
        <w:t xml:space="preserve">Dealership SLA Key Terms</w:t>
      </w:r>
    </w:p>
    <w:p>
      <w:pPr>
        <w:pStyle w:val="ListParagraph"/>
        <w:numPr>
          <w:ilvl w:val="0"/>
          <w:numId w:val="2"/>
        </w:numPr>
        <w:spacing w:after="60"/>
      </w:pPr>
      <w:r>
        <w:rPr>
          <w:rFonts w:ascii="Arial" w:cs="Arial" w:eastAsia="Arial" w:hAnsi="Arial"/>
          <w:color w:val="2C2C2C"/>
          <w:sz w:val="20"/>
          <w:szCs w:val="20"/>
        </w:rPr>
        <w:t xml:space="preserve">Term: 2 years with annual renewal option</w:t>
      </w:r>
    </w:p>
    <w:p>
      <w:pPr>
        <w:pStyle w:val="ListParagraph"/>
        <w:numPr>
          <w:ilvl w:val="0"/>
          <w:numId w:val="2"/>
        </w:numPr>
        <w:spacing w:after="60"/>
      </w:pPr>
      <w:r>
        <w:rPr>
          <w:rFonts w:ascii="Arial" w:cs="Arial" w:eastAsia="Arial" w:hAnsi="Arial"/>
          <w:color w:val="2C2C2C"/>
          <w:sz w:val="20"/>
          <w:szCs w:val="20"/>
        </w:rPr>
        <w:t xml:space="preserve">Uptime SLA: 99.5% availability measured monthly</w:t>
      </w:r>
    </w:p>
    <w:p>
      <w:pPr>
        <w:pStyle w:val="ListParagraph"/>
        <w:numPr>
          <w:ilvl w:val="0"/>
          <w:numId w:val="2"/>
        </w:numPr>
        <w:spacing w:after="60"/>
      </w:pPr>
      <w:r>
        <w:rPr>
          <w:rFonts w:ascii="Arial" w:cs="Arial" w:eastAsia="Arial" w:hAnsi="Arial"/>
          <w:color w:val="2C2C2C"/>
          <w:sz w:val="20"/>
          <w:szCs w:val="20"/>
        </w:rPr>
        <w:t xml:space="preserve">Support: business hours phone/email, 4-hour response for critical issues</w:t>
      </w:r>
    </w:p>
    <w:p>
      <w:pPr>
        <w:pStyle w:val="ListParagraph"/>
        <w:numPr>
          <w:ilvl w:val="0"/>
          <w:numId w:val="2"/>
        </w:numPr>
        <w:spacing w:after="60"/>
      </w:pPr>
      <w:r>
        <w:rPr>
          <w:rFonts w:ascii="Arial" w:cs="Arial" w:eastAsia="Arial" w:hAnsi="Arial"/>
          <w:color w:val="2C2C2C"/>
          <w:sz w:val="20"/>
          <w:szCs w:val="20"/>
        </w:rPr>
        <w:t xml:space="preserve">Data ownership: dealership retains all customer data at all times</w:t>
      </w:r>
    </w:p>
    <w:p>
      <w:pPr>
        <w:pStyle w:val="ListParagraph"/>
        <w:numPr>
          <w:ilvl w:val="0"/>
          <w:numId w:val="2"/>
        </w:numPr>
        <w:spacing w:after="60"/>
      </w:pPr>
      <w:r>
        <w:rPr>
          <w:rFonts w:ascii="Arial" w:cs="Arial" w:eastAsia="Arial" w:hAnsi="Arial"/>
          <w:color w:val="2C2C2C"/>
          <w:sz w:val="20"/>
          <w:szCs w:val="20"/>
        </w:rPr>
        <w:t xml:space="preserve">Deletion on termination: all customer data deleted within 30 days, written confirmation provided</w:t>
      </w:r>
    </w:p>
    <w:p>
      <w:pPr>
        <w:pStyle w:val="ListParagraph"/>
        <w:numPr>
          <w:ilvl w:val="0"/>
          <w:numId w:val="2"/>
        </w:numPr>
        <w:spacing w:after="60"/>
      </w:pPr>
      <w:r>
        <w:rPr>
          <w:rFonts w:ascii="Arial" w:cs="Arial" w:eastAsia="Arial" w:hAnsi="Arial"/>
          <w:color w:val="2C2C2C"/>
          <w:sz w:val="20"/>
          <w:szCs w:val="20"/>
        </w:rPr>
        <w:t xml:space="preserve">Subprocessor transparency: full subprocessor list provided, 30-day notice of changes</w:t>
      </w:r>
    </w:p>
    <w:p>
      <w:pPr>
        <w:pStyle w:val="ListParagraph"/>
        <w:numPr>
          <w:ilvl w:val="0"/>
          <w:numId w:val="2"/>
        </w:numPr>
        <w:spacing w:after="60"/>
      </w:pPr>
      <w:r>
        <w:rPr>
          <w:rFonts w:ascii="Arial" w:cs="Arial" w:eastAsia="Arial" w:hAnsi="Arial"/>
          <w:color w:val="2C2C2C"/>
          <w:sz w:val="20"/>
          <w:szCs w:val="20"/>
        </w:rPr>
        <w:t xml:space="preserve">Compliance maintenance: Oraya AI maintains vendor DPAs and provides updated compliance documentation quarterly</w:t>
      </w:r>
    </w:p>
    <w:p>
      <w:pPr>
        <w:pStyle w:val="Heading3"/>
        <w:spacing w:before="300" w:after="150"/>
      </w:pPr>
      <w:r>
        <w:rPr>
          <w:rFonts w:ascii="Arial" w:cs="Arial" w:eastAsia="Arial" w:hAnsi="Arial"/>
        </w:rPr>
        <w:t xml:space="preserve">AutoNation MSA Escalation Pathway</w:t>
      </w:r>
    </w:p>
    <w:p>
      <w:pPr>
        <w:pStyle w:val="ListParagraph"/>
        <w:numPr>
          <w:ilvl w:val="0"/>
          <w:numId w:val="3"/>
        </w:numPr>
        <w:spacing w:after="60"/>
      </w:pPr>
      <w:r>
        <w:rPr>
          <w:rFonts w:ascii="Arial" w:cs="Arial" w:eastAsia="Arial" w:hAnsi="Arial"/>
          <w:color w:val="2C2C2C"/>
          <w:sz w:val="20"/>
          <w:szCs w:val="20"/>
        </w:rPr>
        <w:t xml:space="preserve">Deliver measurable pilot results to Mercedes of South Bay GM</w:t>
      </w:r>
    </w:p>
    <w:p>
      <w:pPr>
        <w:pStyle w:val="ListParagraph"/>
        <w:numPr>
          <w:ilvl w:val="0"/>
          <w:numId w:val="3"/>
        </w:numPr>
        <w:spacing w:after="60"/>
      </w:pPr>
      <w:r>
        <w:rPr>
          <w:rFonts w:ascii="Arial" w:cs="Arial" w:eastAsia="Arial" w:hAnsi="Arial"/>
          <w:color w:val="2C2C2C"/>
          <w:sz w:val="20"/>
          <w:szCs w:val="20"/>
        </w:rPr>
        <w:t xml:space="preserve">Request introduction to AutoNation regional VP or Director of Operations</w:t>
      </w:r>
    </w:p>
    <w:p>
      <w:pPr>
        <w:pStyle w:val="ListParagraph"/>
        <w:numPr>
          <w:ilvl w:val="0"/>
          <w:numId w:val="3"/>
        </w:numPr>
        <w:spacing w:after="60"/>
      </w:pPr>
      <w:r>
        <w:rPr>
          <w:rFonts w:ascii="Arial" w:cs="Arial" w:eastAsia="Arial" w:hAnsi="Arial"/>
          <w:color w:val="2C2C2C"/>
          <w:sz w:val="20"/>
          <w:szCs w:val="20"/>
        </w:rPr>
        <w:t xml:space="preserve">Present case study with compliance documentation to regional leadership</w:t>
      </w:r>
    </w:p>
    <w:p>
      <w:pPr>
        <w:pStyle w:val="ListParagraph"/>
        <w:numPr>
          <w:ilvl w:val="0"/>
          <w:numId w:val="3"/>
        </w:numPr>
        <w:spacing w:after="60"/>
      </w:pPr>
      <w:r>
        <w:rPr>
          <w:rFonts w:ascii="Arial" w:cs="Arial" w:eastAsia="Arial" w:hAnsi="Arial"/>
          <w:color w:val="2C2C2C"/>
          <w:sz w:val="20"/>
          <w:szCs w:val="20"/>
        </w:rPr>
        <w:t xml:space="preserve">Request introduction to corporate technology team (CIO: Christos Kotsakis)</w:t>
      </w:r>
    </w:p>
    <w:p>
      <w:pPr>
        <w:pStyle w:val="ListParagraph"/>
        <w:numPr>
          <w:ilvl w:val="0"/>
          <w:numId w:val="3"/>
        </w:numPr>
        <w:spacing w:after="60"/>
      </w:pPr>
      <w:r>
        <w:rPr>
          <w:rFonts w:ascii="Arial" w:cs="Arial" w:eastAsia="Arial" w:hAnsi="Arial"/>
          <w:color w:val="2C2C2C"/>
          <w:sz w:val="20"/>
          <w:szCs w:val="20"/>
        </w:rPr>
        <w:t xml:space="preserve">Submit formal vendor onboarding application through AutoNation procurement</w:t>
      </w:r>
    </w:p>
    <w:p>
      <w:pPr>
        <w:pStyle w:val="ListParagraph"/>
        <w:numPr>
          <w:ilvl w:val="0"/>
          <w:numId w:val="3"/>
        </w:numPr>
        <w:spacing w:after="60"/>
      </w:pPr>
      <w:r>
        <w:rPr>
          <w:rFonts w:ascii="Arial" w:cs="Arial" w:eastAsia="Arial" w:hAnsi="Arial"/>
          <w:color w:val="2C2C2C"/>
          <w:sz w:val="20"/>
          <w:szCs w:val="20"/>
        </w:rPr>
        <w:t xml:space="preserve">Complete AutoNation security review (expect CISO Ken Athanasiou’s team to lead)</w:t>
      </w:r>
    </w:p>
    <w:p>
      <w:pPr>
        <w:pStyle w:val="ListParagraph"/>
        <w:numPr>
          <w:ilvl w:val="0"/>
          <w:numId w:val="3"/>
        </w:numPr>
        <w:spacing w:after="60"/>
      </w:pPr>
      <w:r>
        <w:rPr>
          <w:rFonts w:ascii="Arial" w:cs="Arial" w:eastAsia="Arial" w:hAnsi="Arial"/>
          <w:color w:val="2C2C2C"/>
          <w:sz w:val="20"/>
          <w:szCs w:val="20"/>
        </w:rPr>
        <w:t xml:space="preserve">Negotiate corporate MSA with per-rooftop pricing</w:t>
      </w:r>
    </w:p>
    <w:p>
      <w:pPr>
        <w:spacing w:after="80"/>
      </w:pPr>
      <w:r>
        <w:rPr>
          <w:rFonts w:ascii="Arial" w:cs="Arial" w:eastAsia="Arial" w:hAnsi="Arial"/>
          <w:b/>
          <w:bCs/>
          <w:color w:val="2C2C2C"/>
          <w:sz w:val="22"/>
          <w:szCs w:val="22"/>
        </w:rPr>
        <w:t xml:space="preserve">Expected Legal Asks from AutoNation: </w:t>
      </w:r>
      <w:r>
        <w:rPr>
          <w:rFonts w:ascii="Arial" w:cs="Arial" w:eastAsia="Arial" w:hAnsi="Arial"/>
          <w:color w:val="2C2C2C"/>
          <w:sz w:val="22"/>
          <w:szCs w:val="22"/>
        </w:rPr>
        <w:t xml:space="preserve">Data ownership confirmation, deletion and portability rights, subprocessor list with notification of changes, insurance certificates ($5M minimum likely), SOC 2 Type II report (Oraya AI’s own, not just vendors), right to audit, breach notification obligations, indemnification.</w:t>
      </w:r>
    </w:p>
    <w:p>
      <w:pPr>
        <w:pStyle w:val="Heading1"/>
        <w:spacing w:before="300" w:after="150"/>
      </w:pPr>
      <w:r>
        <w:rPr>
          <w:rFonts w:ascii="Arial" w:cs="Arial" w:eastAsia="Arial" w:hAnsi="Arial"/>
        </w:rPr>
        <w:t xml:space="preserve">18. SOC 2 Roadmap for Oraya AI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84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Actions</w:t>
            </w:r>
          </w:p>
        </w:tc>
        <w:tc>
          <w:tcPr>
            <w:tcW w:type="dxa" w:w="2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Readiness Assessment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Months 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Select compliance platform (Vanta, Drata, or Secureframe); define audit scope (Security + Availability TSCs)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Vanta recommended for startup speed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Policy Development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Months 2–4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Draft: Information Security, Access Control, Incident Response, Vendor Management, Change Management, Risk Assessment policies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Templates from 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Type I Audit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Months 4–6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Point-in-time assessment; remediate any findings; obtain Type I report</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Big 4 affiliate or boutique firm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Type I Report Distribution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Month 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Share with prospects, clients, and AutoNation. Demonstrates commitment to enterprise standards.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PDF distribution under NDA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Observation Period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Months 6–12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Controls must operate continuously. Compliance platform monitors and collects evidence automatically.</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Automated evidence collection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Type II Audit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Months 12–18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Period-of-time assessment (minimum 6-month observation window). Full SOC 2 Type II certification.</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Same auditor as Type 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ISO 27001 Pursuit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Months 18–24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Build on SOC 2 controls; pursue ISO certification to align with Mercedes-Benz NP.50.14.110 requirements.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Certification body (e.g., BSI, Schellman)</w:t>
            </w:r>
          </w:p>
        </w:tc>
      </w:tr>
    </w:tbl>
    <w:p>
      <w:pPr>
        <w:spacing w:after="100"/>
      </w:pPr>
    </w:p>
    <w:p>
      <w:pPr>
        <w:pStyle w:val="Heading3"/>
        <w:spacing w:before="300" w:after="150"/>
      </w:pPr>
      <w:r>
        <w:rPr>
          <w:rFonts w:ascii="Arial" w:cs="Arial" w:eastAsia="Arial" w:hAnsi="Arial"/>
        </w:rPr>
        <w:t xml:space="preserve">How to Present Without Undermining Trust</w:t>
      </w:r>
    </w:p>
    <w:p>
      <w:pPr>
        <w:spacing w:after="120"/>
      </w:pPr>
      <w:r>
        <w:rPr>
          <w:rFonts w:ascii="Arial" w:cs="Arial" w:eastAsia="Arial" w:hAnsi="Arial"/>
          <w:b w:val="false"/>
          <w:bCs w:val="false"/>
          <w:i w:val="false"/>
          <w:iCs w:val="false"/>
          <w:color w:val="2C2C2C"/>
          <w:sz w:val="22"/>
          <w:szCs w:val="22"/>
        </w:rPr>
        <w:t xml:space="preserve">“Oraya AI has initiated the SOC 2 certification process. Our vendor stack is fully certified: Twilio (SOC 2 Type II, ISO 27001), RetellAI (SOC 2 Type II, HIPAA, ISO 27001), Supabase (SOC 2 Type II, HIPAA), and Google (SOC 2 Type II, ISO 27001). Our own Type I audit is targeted for Q3 2026 and Type II for Q1 2027. In the interim, our architecture is designed to the same security standards our vendors are independently certified against, and we maintain documented information security policies governing access control, incident response, and data handling.”</w:t>
      </w:r>
    </w:p>
    <w:p>
      <w:pPr>
        <w:pStyle w:val="Heading1"/>
        <w:spacing w:before="300" w:after="150"/>
      </w:pPr>
      <w:r>
        <w:rPr>
          <w:rFonts w:ascii="Arial" w:cs="Arial" w:eastAsia="Arial" w:hAnsi="Arial"/>
        </w:rPr>
        <w:t xml:space="preserve">19. Risks, Assumptions, and Dependencies</w:t>
      </w:r>
    </w:p>
    <w:p>
      <w:pPr>
        <w:pStyle w:val="Heading3"/>
        <w:spacing w:before="300" w:after="150"/>
      </w:pPr>
      <w:r>
        <w:rPr>
          <w:rFonts w:ascii="Arial" w:cs="Arial" w:eastAsia="Arial" w:hAnsi="Arial"/>
        </w:rPr>
        <w:t xml:space="preserve">Risks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700"/>
        <w:gridCol w:w="284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2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if Unmitigated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Startup perception undermines credibility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Enterprise-grade documentation, vendor cert bundle, SOC 2 roadmap</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Deal does not progress past first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Vendor SOC 2 reports not delivered in 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MEDIUM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Request immediately; note ‘available under NDA’ if delayed</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Diligence package incomplete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Dealership IT lacks capacity for A2P registration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MEDIUM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Provide step-by-step guide with pre-written campaign text; offer to support</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Customer-facing SMS delayed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AutoNation corporate blocks dealership-level vendor decision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LOW</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Position as no-cost pilot with no integration to core DMS; dealership GM approval only</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Pilot cannot proceed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n8n 30-day purge not implemented before launch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C"/>
                <w:sz w:val="20"/>
                <w:szCs w:val="20"/>
              </w:rPr>
              <w:t xml:space="preserve">MEDIUM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Implement cron-based purge workflow immediately; test before send date</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CPRA data minimization gap</w:t>
            </w:r>
          </w:p>
        </w:tc>
      </w:tr>
    </w:tbl>
    <w:p>
      <w:pPr>
        <w:spacing w:after="100"/>
      </w:pPr>
    </w:p>
    <w:p>
      <w:pPr>
        <w:pStyle w:val="Heading3"/>
        <w:spacing w:before="300" w:after="150"/>
      </w:pPr>
      <w:r>
        <w:rPr>
          <w:rFonts w:ascii="Arial" w:cs="Arial" w:eastAsia="Arial" w:hAnsi="Arial"/>
        </w:rPr>
        <w:t xml:space="preserve">Assumptions</w:t>
      </w:r>
    </w:p>
    <w:p>
      <w:pPr>
        <w:pStyle w:val="ListParagraph"/>
        <w:numPr>
          <w:ilvl w:val="0"/>
          <w:numId w:val="2"/>
        </w:numPr>
        <w:spacing w:after="60"/>
      </w:pPr>
      <w:r>
        <w:rPr>
          <w:rFonts w:ascii="Arial" w:cs="Arial" w:eastAsia="Arial" w:hAnsi="Arial"/>
          <w:color w:val="2C2C2C"/>
          <w:sz w:val="20"/>
          <w:szCs w:val="20"/>
        </w:rPr>
        <w:t xml:space="preserve">Mercedes of South Bay has IT staff capable of completing A2P 10DLC registration with Oraya AI support</w:t>
      </w:r>
    </w:p>
    <w:p>
      <w:pPr>
        <w:pStyle w:val="ListParagraph"/>
        <w:numPr>
          <w:ilvl w:val="0"/>
          <w:numId w:val="2"/>
        </w:numPr>
        <w:spacing w:after="60"/>
      </w:pPr>
      <w:r>
        <w:rPr>
          <w:rFonts w:ascii="Arial" w:cs="Arial" w:eastAsia="Arial" w:hAnsi="Arial"/>
          <w:color w:val="2C2C2C"/>
          <w:sz w:val="20"/>
          <w:szCs w:val="20"/>
        </w:rPr>
        <w:t xml:space="preserve">Dealership counsel will review the Compliance Verification Report and may request additional documentation</w:t>
      </w:r>
    </w:p>
    <w:p>
      <w:pPr>
        <w:pStyle w:val="ListParagraph"/>
        <w:numPr>
          <w:ilvl w:val="0"/>
          <w:numId w:val="2"/>
        </w:numPr>
        <w:spacing w:after="60"/>
      </w:pPr>
      <w:r>
        <w:rPr>
          <w:rFonts w:ascii="Arial" w:cs="Arial" w:eastAsia="Arial" w:hAnsi="Arial"/>
          <w:color w:val="2C2C2C"/>
          <w:sz w:val="20"/>
          <w:szCs w:val="20"/>
        </w:rPr>
        <w:t xml:space="preserve">AutoNation corporate does not require pre-approval for dealership-level pilot engagements with no-cost vendors</w:t>
      </w:r>
    </w:p>
    <w:p>
      <w:pPr>
        <w:pStyle w:val="ListParagraph"/>
        <w:numPr>
          <w:ilvl w:val="0"/>
          <w:numId w:val="2"/>
        </w:numPr>
        <w:spacing w:after="60"/>
      </w:pPr>
      <w:r>
        <w:rPr>
          <w:rFonts w:ascii="Arial" w:cs="Arial" w:eastAsia="Arial" w:hAnsi="Arial"/>
          <w:color w:val="2C2C2C"/>
          <w:sz w:val="20"/>
          <w:szCs w:val="20"/>
        </w:rPr>
        <w:t xml:space="preserve">The TISAX deadline (September 30, 2026) is confirmed via dealer portal communications</w:t>
      </w:r>
    </w:p>
    <w:p>
      <w:pPr>
        <w:pStyle w:val="Heading3"/>
        <w:spacing w:before="300" w:after="150"/>
      </w:pPr>
      <w:r>
        <w:rPr>
          <w:rFonts w:ascii="Arial" w:cs="Arial" w:eastAsia="Arial" w:hAnsi="Arial"/>
        </w:rPr>
        <w:t xml:space="preserve">Dependencies</w:t>
      </w:r>
    </w:p>
    <w:p>
      <w:pPr>
        <w:pStyle w:val="ListParagraph"/>
        <w:numPr>
          <w:ilvl w:val="0"/>
          <w:numId w:val="2"/>
        </w:numPr>
        <w:spacing w:after="60"/>
      </w:pPr>
      <w:r>
        <w:rPr>
          <w:rFonts w:ascii="Arial" w:cs="Arial" w:eastAsia="Arial" w:hAnsi="Arial"/>
          <w:color w:val="2C2C2C"/>
          <w:sz w:val="20"/>
          <w:szCs w:val="20"/>
        </w:rPr>
        <w:t xml:space="preserve">Oraya AI LLC EIN must be filed before any formal contracts can be executed</w:t>
      </w:r>
    </w:p>
    <w:p>
      <w:pPr>
        <w:pStyle w:val="ListParagraph"/>
        <w:numPr>
          <w:ilvl w:val="0"/>
          <w:numId w:val="2"/>
        </w:numPr>
        <w:spacing w:after="60"/>
      </w:pPr>
      <w:r>
        <w:rPr>
          <w:rFonts w:ascii="Arial" w:cs="Arial" w:eastAsia="Arial" w:hAnsi="Arial"/>
          <w:color w:val="2C2C2C"/>
          <w:sz w:val="20"/>
          <w:szCs w:val="20"/>
        </w:rPr>
        <w:t xml:space="preserve">Insurance must be bound before pilot launch (cyber liability + E&amp;O)</w:t>
      </w:r>
    </w:p>
    <w:p>
      <w:pPr>
        <w:pStyle w:val="ListParagraph"/>
        <w:numPr>
          <w:ilvl w:val="0"/>
          <w:numId w:val="2"/>
        </w:numPr>
        <w:spacing w:after="60"/>
      </w:pPr>
      <w:r>
        <w:rPr>
          <w:rFonts w:ascii="Arial" w:cs="Arial" w:eastAsia="Arial" w:hAnsi="Arial"/>
          <w:color w:val="2C2C2C"/>
          <w:sz w:val="20"/>
          <w:szCs w:val="20"/>
        </w:rPr>
        <w:t xml:space="preserve">All vendor DPAs must be formally executed before the compliance report can be finalized</w:t>
      </w:r>
    </w:p>
    <w:p>
      <w:pPr>
        <w:pStyle w:val="ListParagraph"/>
        <w:numPr>
          <w:ilvl w:val="0"/>
          <w:numId w:val="2"/>
        </w:numPr>
        <w:spacing w:after="60"/>
      </w:pPr>
      <w:r>
        <w:rPr>
          <w:rFonts w:ascii="Arial" w:cs="Arial" w:eastAsia="Arial" w:hAnsi="Arial"/>
          <w:color w:val="2C2C2C"/>
          <w:sz w:val="20"/>
          <w:szCs w:val="20"/>
        </w:rPr>
        <w:t xml:space="preserve">RetellAI, n8n, and Supabase SOC 2 reports must be requested and received for the vendor certification bundle</w:t>
      </w:r>
    </w:p>
    <w:p>
      <w:pPr>
        <w:pStyle w:val="Heading1"/>
        <w:spacing w:before="300" w:after="150"/>
      </w:pPr>
      <w:r>
        <w:rPr>
          <w:rFonts w:ascii="Arial" w:cs="Arial" w:eastAsia="Arial" w:hAnsi="Arial"/>
        </w:rPr>
        <w:t xml:space="preserve">20. Final Execution Timeline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54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5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5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T-14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Begin DPA execution with all five vendors; request SOC 2 reports; obtain insurance quotes</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Legal + Engineering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T-10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Follow up on SOC 2 report requests; begin drafting privacy declaration and architecture diagram</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Engineering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Collect all evidence screenshots (RLS, PII toggles, retention settings); confirm Supabase region; draft pilot SOW; prepare A2P guide</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Engineering + Legal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Finalize architecture diagram and privacy declaration; begin internal review cycle</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Engineering + Legal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Finalize executive proposal letter on Oraya AI letterhead; draft email body</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Founder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Full internal review of all three first-wave attachments; identify any gaps</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Go/No-Go decision. All pre-send items must be COMPLETE. Founder makes final call.</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Founder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Send first email to Mercedes of South Bay (GM or Director of Operations)</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Founder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T+1 to T+5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Follow up if no response within 48 hours. Phone call preferred over second email.</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Founder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T+7 to T+14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Meeting held; demonstrate system live; address questions; deliver second-wave package if requested</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T+14 to T+21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Legal/IT review by dealership; respond to all diligence questions within 24 hours</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Legal + Engineering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T+21 to T+30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Pilot agreement signed; system integration begins; staff training scheduled</w:t>
            </w:r>
          </w:p>
        </w:tc>
        <w:tc>
          <w:tcPr>
            <w:tcW w:type="dxa" w:w="2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All</w:t>
            </w:r>
          </w:p>
        </w:tc>
      </w:tr>
    </w:tbl>
    <w:p>
      <w:pPr>
        <w:spacing w:after="100"/>
      </w:pPr>
    </w:p>
    <w:p>
      <w:pPr>
        <w:spacing w:after="120"/>
      </w:pPr>
      <w:r>
        <w:rPr>
          <w:rFonts w:ascii="Arial" w:cs="Arial" w:eastAsia="Arial" w:hAnsi="Arial"/>
          <w:b/>
          <w:bCs/>
          <w:i w:val="false"/>
          <w:iCs w:val="false"/>
          <w:color w:val="2C2C2C"/>
          <w:sz w:val="22"/>
          <w:szCs w:val="22"/>
        </w:rPr>
        <w:t xml:space="preserve">END OF DOCUMENT</w:t>
      </w:r>
    </w:p>
    <w:sectPr>
      <w:headerReference w:type="default" r:id="rId6"/>
      <w:foot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2" w:space="4"/>
      </w:pBdr>
      <w:jc w:val="center"/>
    </w:pPr>
    <w:r>
      <w:rPr>
        <w:rFonts w:ascii="Arial" w:cs="Arial" w:eastAsia="Arial" w:hAnsi="Arial"/>
        <w:color w:val="666666"/>
        <w:sz w:val="16"/>
        <w:szCs w:val="16"/>
      </w:rPr>
      <w:t xml:space="preserve">Oraya AI LLC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pPr>
    <w:r>
      <w:rPr>
        <w:rFonts w:ascii="Arial" w:cs="Arial" w:eastAsia="Arial" w:hAnsi="Arial"/>
        <w:b/>
        <w:bCs/>
        <w:color w:val="1B2A4A"/>
        <w:sz w:val="16"/>
        <w:szCs w:val="16"/>
      </w:rPr>
      <w:t xml:space="preserve">ORAYA AI LLC</w:t>
    </w:r>
    <w:r>
      <w:rPr>
        <w:rFonts w:ascii="Arial" w:cs="Arial" w:eastAsia="Arial" w:hAnsi="Arial"/>
        <w:color w:val="666666"/>
        <w:sz w:val="16"/>
        <w:szCs w:val="16"/>
      </w:rPr>
      <w:t xml:space="preserve">    |    </w:t>
    </w:r>
    <w:r>
      <w:rPr>
        <w:rFonts w:ascii="Arial" w:cs="Arial" w:eastAsia="Arial" w:hAnsi="Arial"/>
        <w:color w:val="666666"/>
        <w:sz w:val="16"/>
        <w:szCs w:val="16"/>
      </w:rPr>
      <w:t xml:space="preserve">Mercedes of South Bay — Execution Master Brief</w:t>
    </w:r>
    <w:r>
      <w:rPr>
        <w:rFonts w:ascii="Arial" w:cs="Arial" w:eastAsia="Arial" w:hAnsi="Arial"/>
        <w:color w:val="666666"/>
        <w:sz w:val="16"/>
        <w:szCs w:val="16"/>
      </w:rPr>
      <w:t xml:space="preserve">    |    </w:t>
    </w:r>
    <w:r>
      <w:rPr>
        <w:rFonts w:ascii="Arial" w:cs="Arial" w:eastAsia="Arial" w:hAnsi="Arial"/>
        <w:color w:val="CC0000"/>
        <w:sz w:val="16"/>
        <w:szCs w:val="16"/>
      </w:rPr>
      <w:t xml:space="preserve">INTERNAL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A8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2026-03-15T15:22:07.382Z</dcterms:created>
  <dcterms:modified xsi:type="dcterms:W3CDTF">2026-03-15T15:22:07.383Z</dcterms:modified>
</cp:coreProperties>
</file>

<file path=docProps/custom.xml><?xml version="1.0" encoding="utf-8"?>
<Properties xmlns="http://schemas.openxmlformats.org/officeDocument/2006/custom-properties" xmlns:vt="http://schemas.openxmlformats.org/officeDocument/2006/docPropsVTypes"/>
</file>