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b/>
          <w:sz w:val="32"/>
        </w:rPr>
        <w:t>SVKM’S NMIMS</w:t>
      </w:r>
    </w:p>
    <w:p>
      <w:pPr>
        <w:spacing w:after="40" w:before="0"/>
        <w:jc w:val="center"/>
      </w:pPr>
      <w:r>
        <w:rPr>
          <w:rFonts w:ascii="Times New Roman" w:hAnsi="Times New Roman"/>
          <w:b w:val="0"/>
          <w:sz w:val="20"/>
        </w:rPr>
        <w:t>(Deemed-to-be University under section 3 of the UGC Act, 1956)</w:t>
      </w:r>
    </w:p>
    <w:p>
      <w:pPr>
        <w:spacing w:after="80" w:before="0"/>
        <w:jc w:val="center"/>
      </w:pPr>
      <w:r>
        <w:rPr>
          <w:rFonts w:ascii="Times New Roman" w:hAnsi="Times New Roman"/>
          <w:b/>
          <w:sz w:val="26"/>
        </w:rPr>
        <w:t>School of Law, Bengaluru</w:t>
      </w:r>
    </w:p>
    <w:p>
      <w:pPr>
        <w:spacing w:after="240" w:before="0"/>
        <w:jc w:val="center"/>
      </w:pPr>
      <w:r>
        <w:rPr>
          <w:rFonts w:ascii="Times New Roman" w:hAnsi="Times New Roman"/>
          <w:b w:val="0"/>
          <w:sz w:val="22"/>
        </w:rPr>
        <w:t>Academic Year 2025–26</w:t>
      </w:r>
    </w:p>
    <w:tbl>
      <w:tblPr>
        <w:tblW w:type="auto" w:w="0"/>
        <w:jc w:val="left"/>
        <w:tblLook w:firstColumn="1" w:firstRow="1" w:lastColumn="0" w:lastRow="0" w:noHBand="0" w:noVBand="1" w:val="04A0"/>
      </w:tblPr>
      <w:tblGrid>
        <w:gridCol w:w="4680"/>
        <w:gridCol w:w="4680"/>
      </w:tblGrid>
      <w:tr>
        <w:tc>
          <w:tcPr>
            <w:tcW w:type="dxa" w:w="4680"/>
            <w:tcBorders>
              <w:top w:val="none" w:sz="0" w:space="0" w:color="auto"/>
              <w:left w:val="none" w:sz="0" w:space="0" w:color="auto"/>
              <w:bottom w:val="none" w:sz="0" w:space="0" w:color="auto"/>
              <w:right w:val="none" w:sz="0" w:space="0" w:color="auto"/>
              <w:insideH w:val="none" w:sz="0" w:space="0" w:color="auto"/>
              <w:insideV w:val="none" w:sz="0" w:space="0" w:color="auto"/>
            </w:tcBorders>
          </w:tcPr>
          <w:p>
            <w:r>
              <w:rPr>
                <w:rFonts w:ascii="Times New Roman" w:hAnsi="Times New Roman"/>
                <w:b/>
                <w:sz w:val="22"/>
              </w:rPr>
              <w:t>Name of the Student</w:t>
            </w:r>
          </w:p>
        </w:tc>
        <w:tc>
          <w:tcPr>
            <w:tcW w:type="dxa" w:w="4680"/>
            <w:tcBorders>
              <w:top w:val="none" w:sz="0" w:space="0" w:color="auto"/>
              <w:left w:val="none" w:sz="0" w:space="0" w:color="auto"/>
              <w:bottom w:val="none" w:sz="0" w:space="0" w:color="auto"/>
              <w:right w:val="none" w:sz="0" w:space="0" w:color="auto"/>
              <w:insideH w:val="none" w:sz="0" w:space="0" w:color="auto"/>
              <w:insideV w:val="none" w:sz="0" w:space="0" w:color="auto"/>
            </w:tcBorders>
          </w:tcPr>
          <w:p>
            <w:r>
              <w:rPr>
                <w:rFonts w:ascii="Times New Roman" w:hAnsi="Times New Roman"/>
                <w:sz w:val="22"/>
              </w:rPr>
              <w:t xml:space="preserve">: </w:t>
            </w:r>
            <w:r>
              <w:rPr>
                <w:rFonts w:ascii="Times New Roman" w:hAnsi="Times New Roman"/>
                <w:sz w:val="22"/>
              </w:rPr>
              <w:t>Chitraksh Mayank</w:t>
            </w:r>
          </w:p>
        </w:tc>
      </w:tr>
      <w:tr>
        <w:tc>
          <w:tcPr>
            <w:tcW w:type="dxa" w:w="4680"/>
            <w:tcBorders>
              <w:top w:val="none" w:sz="0" w:space="0" w:color="auto"/>
              <w:left w:val="none" w:sz="0" w:space="0" w:color="auto"/>
              <w:bottom w:val="none" w:sz="0" w:space="0" w:color="auto"/>
              <w:right w:val="none" w:sz="0" w:space="0" w:color="auto"/>
              <w:insideH w:val="none" w:sz="0" w:space="0" w:color="auto"/>
              <w:insideV w:val="none" w:sz="0" w:space="0" w:color="auto"/>
            </w:tcBorders>
          </w:tcPr>
          <w:p>
            <w:r>
              <w:rPr>
                <w:rFonts w:ascii="Times New Roman" w:hAnsi="Times New Roman"/>
                <w:b/>
                <w:sz w:val="22"/>
              </w:rPr>
              <w:t>Roll No.</w:t>
            </w:r>
          </w:p>
        </w:tc>
        <w:tc>
          <w:tcPr>
            <w:tcW w:type="dxa" w:w="4680"/>
            <w:tcBorders>
              <w:top w:val="none" w:sz="0" w:space="0" w:color="auto"/>
              <w:left w:val="none" w:sz="0" w:space="0" w:color="auto"/>
              <w:bottom w:val="none" w:sz="0" w:space="0" w:color="auto"/>
              <w:right w:val="none" w:sz="0" w:space="0" w:color="auto"/>
              <w:insideH w:val="none" w:sz="0" w:space="0" w:color="auto"/>
              <w:insideV w:val="none" w:sz="0" w:space="0" w:color="auto"/>
            </w:tcBorders>
          </w:tcPr>
          <w:p>
            <w:r>
              <w:rPr>
                <w:rFonts w:ascii="Times New Roman" w:hAnsi="Times New Roman"/>
                <w:sz w:val="22"/>
              </w:rPr>
              <w:t xml:space="preserve">: </w:t>
            </w:r>
            <w:r>
              <w:rPr>
                <w:rFonts w:ascii="Times New Roman" w:hAnsi="Times New Roman"/>
                <w:sz w:val="22"/>
              </w:rPr>
              <w:t>A029</w:t>
            </w:r>
          </w:p>
        </w:tc>
      </w:tr>
      <w:tr>
        <w:tc>
          <w:tcPr>
            <w:tcW w:type="dxa" w:w="4680"/>
            <w:tcBorders>
              <w:top w:val="none" w:sz="0" w:space="0" w:color="auto"/>
              <w:left w:val="none" w:sz="0" w:space="0" w:color="auto"/>
              <w:bottom w:val="none" w:sz="0" w:space="0" w:color="auto"/>
              <w:right w:val="none" w:sz="0" w:space="0" w:color="auto"/>
              <w:insideH w:val="none" w:sz="0" w:space="0" w:color="auto"/>
              <w:insideV w:val="none" w:sz="0" w:space="0" w:color="auto"/>
            </w:tcBorders>
          </w:tcPr>
          <w:p>
            <w:r>
              <w:rPr>
                <w:rFonts w:ascii="Times New Roman" w:hAnsi="Times New Roman"/>
                <w:b/>
                <w:sz w:val="22"/>
              </w:rPr>
              <w:t>Programme</w:t>
            </w:r>
          </w:p>
        </w:tc>
        <w:tc>
          <w:tcPr>
            <w:tcW w:type="dxa" w:w="4680"/>
            <w:tcBorders>
              <w:top w:val="none" w:sz="0" w:space="0" w:color="auto"/>
              <w:left w:val="none" w:sz="0" w:space="0" w:color="auto"/>
              <w:bottom w:val="none" w:sz="0" w:space="0" w:color="auto"/>
              <w:right w:val="none" w:sz="0" w:space="0" w:color="auto"/>
              <w:insideH w:val="none" w:sz="0" w:space="0" w:color="auto"/>
              <w:insideV w:val="none" w:sz="0" w:space="0" w:color="auto"/>
            </w:tcBorders>
          </w:tcPr>
          <w:p>
            <w:r>
              <w:rPr>
                <w:rFonts w:ascii="Times New Roman" w:hAnsi="Times New Roman"/>
                <w:sz w:val="22"/>
              </w:rPr>
              <w:t xml:space="preserve">: </w:t>
            </w:r>
            <w:r>
              <w:rPr>
                <w:rFonts w:ascii="Times New Roman" w:hAnsi="Times New Roman"/>
                <w:sz w:val="22"/>
              </w:rPr>
              <w:t>B.A. LL.B. (Specialisation: Business Law)</w:t>
            </w:r>
          </w:p>
        </w:tc>
      </w:tr>
      <w:tr>
        <w:tc>
          <w:tcPr>
            <w:tcW w:type="dxa" w:w="4680"/>
            <w:tcBorders>
              <w:top w:val="none" w:sz="0" w:space="0" w:color="auto"/>
              <w:left w:val="none" w:sz="0" w:space="0" w:color="auto"/>
              <w:bottom w:val="none" w:sz="0" w:space="0" w:color="auto"/>
              <w:right w:val="none" w:sz="0" w:space="0" w:color="auto"/>
              <w:insideH w:val="none" w:sz="0" w:space="0" w:color="auto"/>
              <w:insideV w:val="none" w:sz="0" w:space="0" w:color="auto"/>
            </w:tcBorders>
          </w:tcPr>
          <w:p>
            <w:r>
              <w:rPr>
                <w:rFonts w:ascii="Times New Roman" w:hAnsi="Times New Roman"/>
                <w:b/>
                <w:sz w:val="22"/>
              </w:rPr>
              <w:t>Name of the Guide</w:t>
            </w:r>
          </w:p>
        </w:tc>
        <w:tc>
          <w:tcPr>
            <w:tcW w:type="dxa" w:w="4680"/>
            <w:tcBorders>
              <w:top w:val="none" w:sz="0" w:space="0" w:color="auto"/>
              <w:left w:val="none" w:sz="0" w:space="0" w:color="auto"/>
              <w:bottom w:val="none" w:sz="0" w:space="0" w:color="auto"/>
              <w:right w:val="none" w:sz="0" w:space="0" w:color="auto"/>
              <w:insideH w:val="none" w:sz="0" w:space="0" w:color="auto"/>
              <w:insideV w:val="none" w:sz="0" w:space="0" w:color="auto"/>
            </w:tcBorders>
          </w:tcPr>
          <w:p>
            <w:r>
              <w:rPr>
                <w:rFonts w:ascii="Times New Roman" w:hAnsi="Times New Roman"/>
                <w:sz w:val="22"/>
              </w:rPr>
              <w:t xml:space="preserve">: </w:t>
            </w:r>
            <w:r>
              <w:rPr>
                <w:rFonts w:ascii="Times New Roman" w:hAnsi="Times New Roman"/>
                <w:sz w:val="22"/>
              </w:rPr>
              <w:t>Dr. Kush Kalra, Assistant Professor of Law</w:t>
            </w:r>
          </w:p>
        </w:tc>
      </w:tr>
      <w:tr>
        <w:tc>
          <w:tcPr>
            <w:tcW w:type="dxa" w:w="4680"/>
            <w:tcBorders>
              <w:top w:val="none" w:sz="0" w:space="0" w:color="auto"/>
              <w:left w:val="none" w:sz="0" w:space="0" w:color="auto"/>
              <w:bottom w:val="none" w:sz="0" w:space="0" w:color="auto"/>
              <w:right w:val="none" w:sz="0" w:space="0" w:color="auto"/>
              <w:insideH w:val="none" w:sz="0" w:space="0" w:color="auto"/>
              <w:insideV w:val="none" w:sz="0" w:space="0" w:color="auto"/>
            </w:tcBorders>
          </w:tcPr>
          <w:p>
            <w:r>
              <w:rPr>
                <w:rFonts w:ascii="Times New Roman" w:hAnsi="Times New Roman"/>
                <w:b/>
                <w:sz w:val="22"/>
              </w:rPr>
              <w:t>Place</w:t>
            </w:r>
          </w:p>
        </w:tc>
        <w:tc>
          <w:tcPr>
            <w:tcW w:type="dxa" w:w="4680"/>
            <w:tcBorders>
              <w:top w:val="none" w:sz="0" w:space="0" w:color="auto"/>
              <w:left w:val="none" w:sz="0" w:space="0" w:color="auto"/>
              <w:bottom w:val="none" w:sz="0" w:space="0" w:color="auto"/>
              <w:right w:val="none" w:sz="0" w:space="0" w:color="auto"/>
              <w:insideH w:val="none" w:sz="0" w:space="0" w:color="auto"/>
              <w:insideV w:val="none" w:sz="0" w:space="0" w:color="auto"/>
            </w:tcBorders>
          </w:tcPr>
          <w:p>
            <w:r>
              <w:rPr>
                <w:rFonts w:ascii="Times New Roman" w:hAnsi="Times New Roman"/>
                <w:sz w:val="22"/>
              </w:rPr>
              <w:t xml:space="preserve">: </w:t>
            </w:r>
            <w:r>
              <w:rPr>
                <w:rFonts w:ascii="Times New Roman" w:hAnsi="Times New Roman"/>
                <w:sz w:val="22"/>
              </w:rPr>
              <w:t>Bengaluru</w:t>
            </w:r>
          </w:p>
        </w:tc>
      </w:tr>
    </w:tbl>
    <w:p/>
    <w:p>
      <w:pPr>
        <w:spacing w:after="80" w:before="0"/>
        <w:jc w:val="center"/>
      </w:pPr>
      <w:r>
        <w:rPr>
          <w:rFonts w:ascii="Times New Roman" w:hAnsi="Times New Roman"/>
          <w:b/>
          <w:sz w:val="28"/>
          <w:u w:val="single"/>
        </w:rPr>
        <w:t>ANNEXURE II</w:t>
      </w:r>
    </w:p>
    <w:p>
      <w:pPr>
        <w:spacing w:after="120" w:before="0"/>
        <w:jc w:val="center"/>
      </w:pPr>
      <w:r>
        <w:rPr>
          <w:rFonts w:ascii="Times New Roman" w:hAnsi="Times New Roman"/>
          <w:b/>
          <w:sz w:val="26"/>
        </w:rPr>
        <w:t>PROGRESS REPORT – I</w:t>
      </w:r>
    </w:p>
    <w:p>
      <w:pPr>
        <w:spacing w:after="200" w:before="0"/>
        <w:jc w:val="center"/>
      </w:pPr>
      <w:r>
        <w:rPr>
          <w:rFonts w:ascii="Times New Roman" w:hAnsi="Times New Roman"/>
          <w:b/>
          <w:sz w:val="22"/>
        </w:rPr>
        <w:t>Title: “Cross-Jurisdictional Use of Machine Learning in United States and Indian</w:t>
        <w:br/>
        <w:t>Securities Enforcement: Regulatory Architecture, Due Process, and Reform”</w:t>
      </w:r>
    </w:p>
    <w:p>
      <w:pPr>
        <w:spacing w:after="240" w:before="0"/>
        <w:jc w:val="center"/>
      </w:pPr>
      <w:r>
        <w:rPr>
          <w:rFonts w:ascii="Times New Roman" w:hAnsi="Times New Roman"/>
          <w:b w:val="0"/>
          <w:sz w:val="22"/>
        </w:rPr>
        <w:t>Reporting Period: July 2025 – September 2025</w:t>
      </w:r>
    </w:p>
    <w:p>
      <w:pPr>
        <w:spacing w:after="160" w:before="0"/>
        <w:jc w:val="left"/>
      </w:pPr>
      <w:r>
        <w:rPr>
          <w:rFonts w:ascii="Times New Roman" w:hAnsi="Times New Roman"/>
          <w:b/>
          <w:sz w:val="24"/>
          <w:u w:val="single"/>
        </w:rPr>
        <w:t>WORK COMPLETED IN THIS PHASE</w:t>
      </w:r>
    </w:p>
    <w:p>
      <w:pPr>
        <w:spacing w:after="160" w:before="0"/>
        <w:jc w:val="both"/>
      </w:pPr>
      <w:r>
        <w:rPr>
          <w:rFonts w:ascii="Times New Roman" w:hAnsi="Times New Roman"/>
          <w:b w:val="0"/>
          <w:sz w:val="24"/>
        </w:rPr>
        <w:t>During the first phase of the dissertation (July–September 2025), the foundational research architecture was established. This phase focused on defining the research problem, conducting a comprehensive review of existing literature, developing the theoretical and comparative methodology, and undertaking a detailed analysis of the United States regulatory architecture for securities enforcement.</w:t>
      </w:r>
    </w:p>
    <w:p>
      <w:pPr>
        <w:spacing w:after="120" w:before="0"/>
        <w:jc w:val="left"/>
      </w:pPr>
      <w:r>
        <w:rPr>
          <w:rFonts w:ascii="Times New Roman" w:hAnsi="Times New Roman"/>
          <w:b/>
          <w:sz w:val="24"/>
        </w:rPr>
        <w:t>Chapter I: Introduction and Literature Review</w:t>
      </w:r>
    </w:p>
    <w:p>
      <w:pPr>
        <w:spacing w:after="120" w:before="0"/>
        <w:jc w:val="both"/>
      </w:pPr>
      <w:r>
        <w:rPr>
          <w:rFonts w:ascii="Times New Roman" w:hAnsi="Times New Roman"/>
          <w:b w:val="0"/>
          <w:sz w:val="24"/>
        </w:rPr>
        <w:t>The introductory chapter was drafted in its entirety during this phase. The research context was established by mapping the global transformation of securities markets through algorithmic trading and the corresponding shift in regulatory enforcement towards machine learning-driven surveillance. The problem statement was articulated, identifying the absence of comprehensive legal frameworks governing ML deployment in securities enforcement in both the United States and India as the central research gap.</w:t>
      </w:r>
    </w:p>
    <w:p>
      <w:pPr>
        <w:spacing w:after="120" w:before="0"/>
        <w:jc w:val="both"/>
      </w:pPr>
      <w:r>
        <w:rPr>
          <w:rFonts w:ascii="Times New Roman" w:hAnsi="Times New Roman"/>
          <w:b w:val="0"/>
          <w:sz w:val="24"/>
        </w:rPr>
        <w:t>A thorough literature review was conducted spanning four principal domains: (i) academic scholarship on ML in financial regulation, including the works of Yesha Yadav, Tom C.W. Lin, Hilary J. Allen, and Chris Brummer; (ii) institutional and regulatory publications from the SEC, FINRA, CFTC, SEBI, and IOSCO; (iii) comparative law scholarship on regulatory convergence and divergence; and (iv) interdisciplinary research at the intersection of AI governance and administrative law. The literature review revealed that no prior study has conducted a systematic cross-jurisdictional comparison of ML in securities enforcement across the US-India dyad, confirming the originality and necessity of this research.</w:t>
      </w:r>
    </w:p>
    <w:p>
      <w:pPr>
        <w:spacing w:after="160" w:before="0"/>
        <w:jc w:val="both"/>
      </w:pPr>
      <w:r>
        <w:rPr>
          <w:rFonts w:ascii="Times New Roman" w:hAnsi="Times New Roman"/>
          <w:b w:val="0"/>
          <w:sz w:val="24"/>
        </w:rPr>
        <w:t>Five research objectives, five corresponding research questions, and the central hypothesis were formulated. The hypothesis posits that neither jurisdiction has established a legal framework adequate to govern ML deployment in a manner that simultaneously ensures enforcement effectiveness, procedural fairness, algorithmic transparency, and cross-jurisdictional coordination.</w:t>
      </w:r>
    </w:p>
    <w:p>
      <w:pPr>
        <w:spacing w:after="120" w:before="0"/>
        <w:jc w:val="left"/>
      </w:pPr>
      <w:r>
        <w:rPr>
          <w:rFonts w:ascii="Times New Roman" w:hAnsi="Times New Roman"/>
          <w:b/>
          <w:sz w:val="24"/>
        </w:rPr>
        <w:t>Chapter II: Theoretical Framework and Comparative Methodology</w:t>
      </w:r>
    </w:p>
    <w:p>
      <w:pPr>
        <w:spacing w:after="120" w:before="0"/>
        <w:jc w:val="both"/>
      </w:pPr>
      <w:r>
        <w:rPr>
          <w:rFonts w:ascii="Times New Roman" w:hAnsi="Times New Roman"/>
          <w:b w:val="0"/>
          <w:sz w:val="24"/>
        </w:rPr>
        <w:t>The theoretical framework was developed during this phase, drawing on three principal intellectual traditions. First, responsive regulation theory (Ayres and Braithwaite) and risk-based regulatory theory (Black and Baldwin) were employed to conceptualise the role of ML within the broader enforcement architecture. Second, the comparative legal methodology was grounded in the Zweigert-Kötz functional approach, which examines how different legal systems address functionally equivalent regulatory challenges through distinct institutional mechanisms.</w:t>
      </w:r>
    </w:p>
    <w:p>
      <w:pPr>
        <w:spacing w:after="160" w:before="0"/>
        <w:jc w:val="both"/>
      </w:pPr>
      <w:r>
        <w:rPr>
          <w:rFonts w:ascii="Times New Roman" w:hAnsi="Times New Roman"/>
          <w:b w:val="0"/>
          <w:sz w:val="24"/>
        </w:rPr>
        <w:t>Third, the emerging scholarship on AI governance—including algorithmic accountability, explainability requirements, and fairness constraints—was integrated to provide a normative framework for evaluating the adequacy of existing regulatory approaches. Six comparative dimensions were defined: (i) regulatory architecture, (ii) ML operational deployment, (iii) due process protections, (iv) algorithmic bias governance, (v) data protection frameworks, and (vi) cross-border coordination mechanisms. These dimensions structure the analysis throughout the dissertation.</w:t>
      </w:r>
    </w:p>
    <w:p>
      <w:pPr>
        <w:spacing w:after="120" w:before="0"/>
        <w:jc w:val="left"/>
      </w:pPr>
      <w:r>
        <w:rPr>
          <w:rFonts w:ascii="Times New Roman" w:hAnsi="Times New Roman"/>
          <w:b/>
          <w:sz w:val="24"/>
        </w:rPr>
        <w:t>Chapter III: Regulatory Architecture of the United States Securities Enforcement</w:t>
      </w:r>
    </w:p>
    <w:p>
      <w:pPr>
        <w:spacing w:after="120" w:before="0"/>
        <w:jc w:val="both"/>
      </w:pPr>
      <w:r>
        <w:rPr>
          <w:rFonts w:ascii="Times New Roman" w:hAnsi="Times New Roman"/>
          <w:b w:val="0"/>
          <w:sz w:val="24"/>
        </w:rPr>
        <w:t>The analysis of the US regulatory architecture was initiated and substantially completed during this phase. The multi-regulator model was examined in detail, covering the statutory authority and jurisdictional mandates of the SEC (under the Securities Exchange Act of 1934 and the Dodd-Frank Act 2010), the CFTC (under the Commodity Exchange Act), and FINRA (as a self-regulatory organisation). The inter-agency coordination mechanisms, including the Financial Stability Oversight Council (FSOC) and joint enforcement protocols, were analysed.</w:t>
      </w:r>
    </w:p>
    <w:p>
      <w:pPr>
        <w:spacing w:after="200" w:before="0"/>
        <w:jc w:val="both"/>
      </w:pPr>
      <w:r>
        <w:rPr>
          <w:rFonts w:ascii="Times New Roman" w:hAnsi="Times New Roman"/>
          <w:b w:val="0"/>
          <w:sz w:val="24"/>
        </w:rPr>
        <w:t>Particular attention was devoted to the legal foundation for technology adoption in US securities enforcement, tracing the evolution from the SEC’s Market Abuse Unit (established 2010) and its Analysis and Detection Center to the current deployment of advanced analytical tools. The constitutional and administrative law constraints on ML deployment were examined, including the due process requirements of the Fifth and Fourteenth Amendments and the procedural safeguards of the Administrative Procedure Act, with particular reference to the Supreme Court’s decision in SEC v. Jarkesy (2024) and its implications for algorithmic enforcement.</w:t>
      </w:r>
    </w:p>
    <w:p>
      <w:pPr>
        <w:spacing w:after="120" w:before="160"/>
        <w:jc w:val="left"/>
      </w:pPr>
      <w:r>
        <w:rPr>
          <w:rFonts w:ascii="Times New Roman" w:hAnsi="Times New Roman"/>
          <w:b/>
          <w:sz w:val="24"/>
          <w:u w:val="single"/>
        </w:rPr>
        <w:t>TIMELINE OF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c>
          <w:tcPr>
            <w:tcW w:type="dxa" w:w="4680"/>
            <w:shd w:fill="D9E2F3" w:val="clear"/>
          </w:tcPr>
          <w:p>
            <w:pPr>
              <w:jc w:val="center"/>
            </w:pPr>
            <w:r>
              <w:rPr>
                <w:rFonts w:ascii="Times New Roman" w:hAnsi="Times New Roman"/>
                <w:b/>
                <w:sz w:val="20"/>
              </w:rPr>
              <w:t>Period</w:t>
            </w:r>
          </w:p>
        </w:tc>
        <w:tc>
          <w:tcPr>
            <w:tcW w:type="dxa" w:w="4680"/>
            <w:shd w:fill="D9E2F3" w:val="clear"/>
          </w:tcPr>
          <w:p>
            <w:pPr>
              <w:jc w:val="center"/>
            </w:pPr>
            <w:r>
              <w:rPr>
                <w:rFonts w:ascii="Times New Roman" w:hAnsi="Times New Roman"/>
                <w:b/>
                <w:sz w:val="20"/>
              </w:rPr>
              <w:t>Work Undertaken</w:t>
            </w:r>
          </w:p>
        </w:tc>
      </w:tr>
      <w:tr>
        <w:tc>
          <w:tcPr>
            <w:tcW w:type="dxa" w:w="4680"/>
          </w:tcPr>
          <w:p>
            <w:pPr>
              <w:jc w:val="center"/>
            </w:pPr>
            <w:r>
              <w:rPr>
                <w:rFonts w:ascii="Times New Roman" w:hAnsi="Times New Roman"/>
                <w:b/>
                <w:sz w:val="20"/>
              </w:rPr>
              <w:t>July 2025 (Weeks 1–2)</w:t>
            </w:r>
          </w:p>
        </w:tc>
        <w:tc>
          <w:tcPr>
            <w:tcW w:type="dxa" w:w="4680"/>
          </w:tcPr>
          <w:p>
            <w:pPr>
              <w:jc w:val="both"/>
            </w:pPr>
            <w:r>
              <w:rPr>
                <w:rFonts w:ascii="Times New Roman" w:hAnsi="Times New Roman"/>
                <w:sz w:val="20"/>
              </w:rPr>
              <w:t>Topic finalisation; preliminary literature survey; identification of primary and secondary sources; formulation of research objectives and questions.</w:t>
            </w:r>
          </w:p>
        </w:tc>
      </w:tr>
      <w:tr>
        <w:tc>
          <w:tcPr>
            <w:tcW w:type="dxa" w:w="4680"/>
          </w:tcPr>
          <w:p>
            <w:pPr>
              <w:jc w:val="center"/>
            </w:pPr>
            <w:r>
              <w:rPr>
                <w:rFonts w:ascii="Times New Roman" w:hAnsi="Times New Roman"/>
                <w:b/>
                <w:sz w:val="20"/>
              </w:rPr>
              <w:t>July 2025 (Weeks 3–4)</w:t>
            </w:r>
          </w:p>
        </w:tc>
        <w:tc>
          <w:tcPr>
            <w:tcW w:type="dxa" w:w="4680"/>
          </w:tcPr>
          <w:p>
            <w:pPr>
              <w:jc w:val="both"/>
            </w:pPr>
            <w:r>
              <w:rPr>
                <w:rFonts w:ascii="Times New Roman" w:hAnsi="Times New Roman"/>
                <w:sz w:val="20"/>
              </w:rPr>
              <w:t>Comprehensive literature review across legal, technological, and regulatory domains; identification of research gap; drafting of Chapter I introduction and problem statement.</w:t>
            </w:r>
          </w:p>
        </w:tc>
      </w:tr>
      <w:tr>
        <w:tc>
          <w:tcPr>
            <w:tcW w:type="dxa" w:w="4680"/>
          </w:tcPr>
          <w:p>
            <w:pPr>
              <w:jc w:val="center"/>
            </w:pPr>
            <w:r>
              <w:rPr>
                <w:rFonts w:ascii="Times New Roman" w:hAnsi="Times New Roman"/>
                <w:b/>
                <w:sz w:val="20"/>
              </w:rPr>
              <w:t>August 2025 (Weeks 1–2)</w:t>
            </w:r>
          </w:p>
        </w:tc>
        <w:tc>
          <w:tcPr>
            <w:tcW w:type="dxa" w:w="4680"/>
          </w:tcPr>
          <w:p>
            <w:pPr>
              <w:jc w:val="both"/>
            </w:pPr>
            <w:r>
              <w:rPr>
                <w:rFonts w:ascii="Times New Roman" w:hAnsi="Times New Roman"/>
                <w:sz w:val="20"/>
              </w:rPr>
              <w:t>Development of theoretical framework (responsive regulation, risk-based regulation, AI governance); definition of six comparative dimensions; drafting of Chapter II.</w:t>
            </w:r>
          </w:p>
        </w:tc>
      </w:tr>
      <w:tr>
        <w:tc>
          <w:tcPr>
            <w:tcW w:type="dxa" w:w="4680"/>
          </w:tcPr>
          <w:p>
            <w:pPr>
              <w:jc w:val="center"/>
            </w:pPr>
            <w:r>
              <w:rPr>
                <w:rFonts w:ascii="Times New Roman" w:hAnsi="Times New Roman"/>
                <w:b/>
                <w:sz w:val="20"/>
              </w:rPr>
              <w:t>August 2025 (Weeks 3–4)</w:t>
            </w:r>
          </w:p>
        </w:tc>
        <w:tc>
          <w:tcPr>
            <w:tcW w:type="dxa" w:w="4680"/>
          </w:tcPr>
          <w:p>
            <w:pPr>
              <w:jc w:val="both"/>
            </w:pPr>
            <w:r>
              <w:rPr>
                <w:rFonts w:ascii="Times New Roman" w:hAnsi="Times New Roman"/>
                <w:sz w:val="20"/>
              </w:rPr>
              <w:t>Analysis of US multi-regulator architecture (SEC, CFTC, FINRA); statutory authority mapping; study of inter-agency coordination mechanisms.</w:t>
            </w:r>
          </w:p>
        </w:tc>
      </w:tr>
      <w:tr>
        <w:tc>
          <w:tcPr>
            <w:tcW w:type="dxa" w:w="4680"/>
          </w:tcPr>
          <w:p>
            <w:pPr>
              <w:jc w:val="center"/>
            </w:pPr>
            <w:r>
              <w:rPr>
                <w:rFonts w:ascii="Times New Roman" w:hAnsi="Times New Roman"/>
                <w:b/>
                <w:sz w:val="20"/>
              </w:rPr>
              <w:t>September 2025 (Weeks 1–2)</w:t>
            </w:r>
          </w:p>
        </w:tc>
        <w:tc>
          <w:tcPr>
            <w:tcW w:type="dxa" w:w="4680"/>
          </w:tcPr>
          <w:p>
            <w:pPr>
              <w:jc w:val="both"/>
            </w:pPr>
            <w:r>
              <w:rPr>
                <w:rFonts w:ascii="Times New Roman" w:hAnsi="Times New Roman"/>
                <w:sz w:val="20"/>
              </w:rPr>
              <w:t>Analysis of legal foundations for technology adoption in US enforcement; examination of APA constraints and Jarkesy implications; drafting of Chapter III.</w:t>
            </w:r>
          </w:p>
        </w:tc>
      </w:tr>
      <w:tr>
        <w:tc>
          <w:tcPr>
            <w:tcW w:type="dxa" w:w="4680"/>
          </w:tcPr>
          <w:p>
            <w:pPr>
              <w:jc w:val="center"/>
            </w:pPr>
            <w:r>
              <w:rPr>
                <w:rFonts w:ascii="Times New Roman" w:hAnsi="Times New Roman"/>
                <w:b/>
                <w:sz w:val="20"/>
              </w:rPr>
              <w:t>September 2025 (Weeks 3–4)</w:t>
            </w:r>
          </w:p>
        </w:tc>
        <w:tc>
          <w:tcPr>
            <w:tcW w:type="dxa" w:w="4680"/>
          </w:tcPr>
          <w:p>
            <w:pPr>
              <w:jc w:val="both"/>
            </w:pPr>
            <w:r>
              <w:rPr>
                <w:rFonts w:ascii="Times New Roman" w:hAnsi="Times New Roman"/>
                <w:sz w:val="20"/>
              </w:rPr>
              <w:t>Review and revision of Chapters I–III; integration of Guide’s feedback; preparation of Progress Report I.</w:t>
            </w:r>
          </w:p>
        </w:tc>
      </w:tr>
    </w:tbl>
    <w:p/>
    <w:p/>
    <w:tbl>
      <w:tblPr>
        <w:tblW w:type="auto" w:w="0"/>
        <w:jc w:val="center"/>
        <w:tblLook w:firstColumn="1" w:firstRow="1" w:lastColumn="0" w:lastRow="0" w:noHBand="0" w:noVBand="1" w:val="04A0"/>
      </w:tblPr>
      <w:tblGrid>
        <w:gridCol w:w="4680"/>
        <w:gridCol w:w="4680"/>
      </w:tblGrid>
      <w:tr>
        <w:tc>
          <w:tcPr>
            <w:tcW w:type="dxa" w:w="4680"/>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jc w:val="center"/>
            </w:pPr>
            <w:r>
              <w:rPr>
                <w:rFonts w:ascii="Times New Roman" w:hAnsi="Times New Roman"/>
                <w:sz w:val="22"/>
              </w:rPr>
              <w:t>____________________________</w:t>
            </w:r>
          </w:p>
        </w:tc>
        <w:tc>
          <w:tcPr>
            <w:tcW w:type="dxa" w:w="4680"/>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jc w:val="center"/>
            </w:pPr>
            <w:r>
              <w:rPr>
                <w:rFonts w:ascii="Times New Roman" w:hAnsi="Times New Roman"/>
                <w:sz w:val="22"/>
              </w:rPr>
              <w:t>____________________________</w:t>
            </w:r>
          </w:p>
        </w:tc>
      </w:tr>
      <w:tr>
        <w:tc>
          <w:tcPr>
            <w:tcW w:type="dxa" w:w="4680"/>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jc w:val="center"/>
            </w:pPr>
            <w:r>
              <w:rPr>
                <w:rFonts w:ascii="Times New Roman" w:hAnsi="Times New Roman"/>
                <w:b/>
                <w:sz w:val="22"/>
              </w:rPr>
              <w:t>Chitraksh Mayank</w:t>
            </w:r>
          </w:p>
        </w:tc>
        <w:tc>
          <w:tcPr>
            <w:tcW w:type="dxa" w:w="4680"/>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jc w:val="center"/>
            </w:pPr>
            <w:r>
              <w:rPr>
                <w:rFonts w:ascii="Times New Roman" w:hAnsi="Times New Roman"/>
                <w:b/>
                <w:sz w:val="22"/>
              </w:rPr>
              <w:t>Dr. Kush Kalra</w:t>
            </w:r>
          </w:p>
        </w:tc>
      </w:tr>
      <w:tr>
        <w:tc>
          <w:tcPr>
            <w:tcW w:type="dxa" w:w="4680"/>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jc w:val="center"/>
            </w:pPr>
            <w:r>
              <w:rPr>
                <w:rFonts w:ascii="Times New Roman" w:hAnsi="Times New Roman"/>
                <w:sz w:val="20"/>
              </w:rPr>
              <w:t>(Student)</w:t>
            </w:r>
          </w:p>
        </w:tc>
        <w:tc>
          <w:tcPr>
            <w:tcW w:type="dxa" w:w="4680"/>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jc w:val="center"/>
            </w:pPr>
            <w:r>
              <w:rPr>
                <w:rFonts w:ascii="Times New Roman" w:hAnsi="Times New Roman"/>
                <w:sz w:val="20"/>
              </w:rPr>
              <w:t>(Guide)</w:t>
            </w:r>
          </w:p>
        </w:tc>
      </w:tr>
    </w:tbl>
    <w:p/>
    <w:p>
      <w:pPr>
        <w:jc w:val="left"/>
      </w:pPr>
      <w:r>
        <w:rPr>
          <w:rFonts w:ascii="Times New Roman" w:hAnsi="Times New Roman"/>
          <w:sz w:val="22"/>
        </w:rPr>
        <w:t>Date: _______________</w:t>
      </w:r>
    </w:p>
    <w:p>
      <w:pPr>
        <w:jc w:val="left"/>
      </w:pPr>
      <w:r>
        <w:rPr>
          <w:rFonts w:ascii="Times New Roman" w:hAnsi="Times New Roman"/>
          <w:sz w:val="22"/>
        </w:rPr>
        <w:t>Place: Bengaluru</w:t>
      </w:r>
    </w:p>
    <w:p>
      <w:r>
        <w:br w:type="page"/>
      </w:r>
    </w:p>
    <w:p>
      <w:pPr>
        <w:spacing w:after="40" w:before="0"/>
        <w:jc w:val="center"/>
      </w:pPr>
      <w:r>
        <w:rPr>
          <w:rFonts w:ascii="Times New Roman" w:hAnsi="Times New Roman"/>
          <w:b/>
          <w:sz w:val="32"/>
        </w:rPr>
        <w:t>SVKM’S NMIMS</w:t>
      </w:r>
    </w:p>
    <w:p>
      <w:pPr>
        <w:spacing w:after="40" w:before="0"/>
        <w:jc w:val="center"/>
      </w:pPr>
      <w:r>
        <w:rPr>
          <w:rFonts w:ascii="Times New Roman" w:hAnsi="Times New Roman"/>
          <w:b w:val="0"/>
          <w:sz w:val="20"/>
        </w:rPr>
        <w:t>(Deemed-to-be University under section 3 of the UGC Act, 1956)</w:t>
      </w:r>
    </w:p>
    <w:p>
      <w:pPr>
        <w:spacing w:after="80" w:before="0"/>
        <w:jc w:val="center"/>
      </w:pPr>
      <w:r>
        <w:rPr>
          <w:rFonts w:ascii="Times New Roman" w:hAnsi="Times New Roman"/>
          <w:b/>
          <w:sz w:val="26"/>
        </w:rPr>
        <w:t>School of Law, Bengaluru</w:t>
      </w:r>
    </w:p>
    <w:p>
      <w:pPr>
        <w:spacing w:after="240" w:before="0"/>
        <w:jc w:val="center"/>
      </w:pPr>
      <w:r>
        <w:rPr>
          <w:rFonts w:ascii="Times New Roman" w:hAnsi="Times New Roman"/>
          <w:b w:val="0"/>
          <w:sz w:val="22"/>
        </w:rPr>
        <w:t>Academic Year 2025–26</w:t>
      </w:r>
    </w:p>
    <w:tbl>
      <w:tblPr>
        <w:tblW w:type="auto" w:w="0"/>
        <w:jc w:val="left"/>
        <w:tblLook w:firstColumn="1" w:firstRow="1" w:lastColumn="0" w:lastRow="0" w:noHBand="0" w:noVBand="1" w:val="04A0"/>
      </w:tblPr>
      <w:tblGrid>
        <w:gridCol w:w="4680"/>
        <w:gridCol w:w="4680"/>
      </w:tblGrid>
      <w:tr>
        <w:tc>
          <w:tcPr>
            <w:tcW w:type="dxa" w:w="4680"/>
            <w:tcBorders>
              <w:top w:val="none" w:sz="0" w:space="0" w:color="auto"/>
              <w:left w:val="none" w:sz="0" w:space="0" w:color="auto"/>
              <w:bottom w:val="none" w:sz="0" w:space="0" w:color="auto"/>
              <w:right w:val="none" w:sz="0" w:space="0" w:color="auto"/>
              <w:insideH w:val="none" w:sz="0" w:space="0" w:color="auto"/>
              <w:insideV w:val="none" w:sz="0" w:space="0" w:color="auto"/>
            </w:tcBorders>
          </w:tcPr>
          <w:p>
            <w:r>
              <w:rPr>
                <w:rFonts w:ascii="Times New Roman" w:hAnsi="Times New Roman"/>
                <w:b/>
                <w:sz w:val="22"/>
              </w:rPr>
              <w:t>Name of the Student</w:t>
            </w:r>
          </w:p>
        </w:tc>
        <w:tc>
          <w:tcPr>
            <w:tcW w:type="dxa" w:w="4680"/>
            <w:tcBorders>
              <w:top w:val="none" w:sz="0" w:space="0" w:color="auto"/>
              <w:left w:val="none" w:sz="0" w:space="0" w:color="auto"/>
              <w:bottom w:val="none" w:sz="0" w:space="0" w:color="auto"/>
              <w:right w:val="none" w:sz="0" w:space="0" w:color="auto"/>
              <w:insideH w:val="none" w:sz="0" w:space="0" w:color="auto"/>
              <w:insideV w:val="none" w:sz="0" w:space="0" w:color="auto"/>
            </w:tcBorders>
          </w:tcPr>
          <w:p>
            <w:r>
              <w:rPr>
                <w:rFonts w:ascii="Times New Roman" w:hAnsi="Times New Roman"/>
                <w:sz w:val="22"/>
              </w:rPr>
              <w:t xml:space="preserve">: </w:t>
            </w:r>
            <w:r>
              <w:rPr>
                <w:rFonts w:ascii="Times New Roman" w:hAnsi="Times New Roman"/>
                <w:sz w:val="22"/>
              </w:rPr>
              <w:t>Chitraksh Mayank</w:t>
            </w:r>
          </w:p>
        </w:tc>
      </w:tr>
      <w:tr>
        <w:tc>
          <w:tcPr>
            <w:tcW w:type="dxa" w:w="4680"/>
            <w:tcBorders>
              <w:top w:val="none" w:sz="0" w:space="0" w:color="auto"/>
              <w:left w:val="none" w:sz="0" w:space="0" w:color="auto"/>
              <w:bottom w:val="none" w:sz="0" w:space="0" w:color="auto"/>
              <w:right w:val="none" w:sz="0" w:space="0" w:color="auto"/>
              <w:insideH w:val="none" w:sz="0" w:space="0" w:color="auto"/>
              <w:insideV w:val="none" w:sz="0" w:space="0" w:color="auto"/>
            </w:tcBorders>
          </w:tcPr>
          <w:p>
            <w:r>
              <w:rPr>
                <w:rFonts w:ascii="Times New Roman" w:hAnsi="Times New Roman"/>
                <w:b/>
                <w:sz w:val="22"/>
              </w:rPr>
              <w:t>Roll No.</w:t>
            </w:r>
          </w:p>
        </w:tc>
        <w:tc>
          <w:tcPr>
            <w:tcW w:type="dxa" w:w="4680"/>
            <w:tcBorders>
              <w:top w:val="none" w:sz="0" w:space="0" w:color="auto"/>
              <w:left w:val="none" w:sz="0" w:space="0" w:color="auto"/>
              <w:bottom w:val="none" w:sz="0" w:space="0" w:color="auto"/>
              <w:right w:val="none" w:sz="0" w:space="0" w:color="auto"/>
              <w:insideH w:val="none" w:sz="0" w:space="0" w:color="auto"/>
              <w:insideV w:val="none" w:sz="0" w:space="0" w:color="auto"/>
            </w:tcBorders>
          </w:tcPr>
          <w:p>
            <w:r>
              <w:rPr>
                <w:rFonts w:ascii="Times New Roman" w:hAnsi="Times New Roman"/>
                <w:sz w:val="22"/>
              </w:rPr>
              <w:t xml:space="preserve">: </w:t>
            </w:r>
            <w:r>
              <w:rPr>
                <w:rFonts w:ascii="Times New Roman" w:hAnsi="Times New Roman"/>
                <w:sz w:val="22"/>
              </w:rPr>
              <w:t>A029</w:t>
            </w:r>
          </w:p>
        </w:tc>
      </w:tr>
      <w:tr>
        <w:tc>
          <w:tcPr>
            <w:tcW w:type="dxa" w:w="4680"/>
            <w:tcBorders>
              <w:top w:val="none" w:sz="0" w:space="0" w:color="auto"/>
              <w:left w:val="none" w:sz="0" w:space="0" w:color="auto"/>
              <w:bottom w:val="none" w:sz="0" w:space="0" w:color="auto"/>
              <w:right w:val="none" w:sz="0" w:space="0" w:color="auto"/>
              <w:insideH w:val="none" w:sz="0" w:space="0" w:color="auto"/>
              <w:insideV w:val="none" w:sz="0" w:space="0" w:color="auto"/>
            </w:tcBorders>
          </w:tcPr>
          <w:p>
            <w:r>
              <w:rPr>
                <w:rFonts w:ascii="Times New Roman" w:hAnsi="Times New Roman"/>
                <w:b/>
                <w:sz w:val="22"/>
              </w:rPr>
              <w:t>Programme</w:t>
            </w:r>
          </w:p>
        </w:tc>
        <w:tc>
          <w:tcPr>
            <w:tcW w:type="dxa" w:w="4680"/>
            <w:tcBorders>
              <w:top w:val="none" w:sz="0" w:space="0" w:color="auto"/>
              <w:left w:val="none" w:sz="0" w:space="0" w:color="auto"/>
              <w:bottom w:val="none" w:sz="0" w:space="0" w:color="auto"/>
              <w:right w:val="none" w:sz="0" w:space="0" w:color="auto"/>
              <w:insideH w:val="none" w:sz="0" w:space="0" w:color="auto"/>
              <w:insideV w:val="none" w:sz="0" w:space="0" w:color="auto"/>
            </w:tcBorders>
          </w:tcPr>
          <w:p>
            <w:r>
              <w:rPr>
                <w:rFonts w:ascii="Times New Roman" w:hAnsi="Times New Roman"/>
                <w:sz w:val="22"/>
              </w:rPr>
              <w:t xml:space="preserve">: </w:t>
            </w:r>
            <w:r>
              <w:rPr>
                <w:rFonts w:ascii="Times New Roman" w:hAnsi="Times New Roman"/>
                <w:sz w:val="22"/>
              </w:rPr>
              <w:t>B.A. LL.B. (Specialisation: Business Law)</w:t>
            </w:r>
          </w:p>
        </w:tc>
      </w:tr>
      <w:tr>
        <w:tc>
          <w:tcPr>
            <w:tcW w:type="dxa" w:w="4680"/>
            <w:tcBorders>
              <w:top w:val="none" w:sz="0" w:space="0" w:color="auto"/>
              <w:left w:val="none" w:sz="0" w:space="0" w:color="auto"/>
              <w:bottom w:val="none" w:sz="0" w:space="0" w:color="auto"/>
              <w:right w:val="none" w:sz="0" w:space="0" w:color="auto"/>
              <w:insideH w:val="none" w:sz="0" w:space="0" w:color="auto"/>
              <w:insideV w:val="none" w:sz="0" w:space="0" w:color="auto"/>
            </w:tcBorders>
          </w:tcPr>
          <w:p>
            <w:r>
              <w:rPr>
                <w:rFonts w:ascii="Times New Roman" w:hAnsi="Times New Roman"/>
                <w:b/>
                <w:sz w:val="22"/>
              </w:rPr>
              <w:t>Name of the Guide</w:t>
            </w:r>
          </w:p>
        </w:tc>
        <w:tc>
          <w:tcPr>
            <w:tcW w:type="dxa" w:w="4680"/>
            <w:tcBorders>
              <w:top w:val="none" w:sz="0" w:space="0" w:color="auto"/>
              <w:left w:val="none" w:sz="0" w:space="0" w:color="auto"/>
              <w:bottom w:val="none" w:sz="0" w:space="0" w:color="auto"/>
              <w:right w:val="none" w:sz="0" w:space="0" w:color="auto"/>
              <w:insideH w:val="none" w:sz="0" w:space="0" w:color="auto"/>
              <w:insideV w:val="none" w:sz="0" w:space="0" w:color="auto"/>
            </w:tcBorders>
          </w:tcPr>
          <w:p>
            <w:r>
              <w:rPr>
                <w:rFonts w:ascii="Times New Roman" w:hAnsi="Times New Roman"/>
                <w:sz w:val="22"/>
              </w:rPr>
              <w:t xml:space="preserve">: </w:t>
            </w:r>
            <w:r>
              <w:rPr>
                <w:rFonts w:ascii="Times New Roman" w:hAnsi="Times New Roman"/>
                <w:sz w:val="22"/>
              </w:rPr>
              <w:t>Dr. Kush Kalra, Assistant Professor of Law</w:t>
            </w:r>
          </w:p>
        </w:tc>
      </w:tr>
      <w:tr>
        <w:tc>
          <w:tcPr>
            <w:tcW w:type="dxa" w:w="4680"/>
            <w:tcBorders>
              <w:top w:val="none" w:sz="0" w:space="0" w:color="auto"/>
              <w:left w:val="none" w:sz="0" w:space="0" w:color="auto"/>
              <w:bottom w:val="none" w:sz="0" w:space="0" w:color="auto"/>
              <w:right w:val="none" w:sz="0" w:space="0" w:color="auto"/>
              <w:insideH w:val="none" w:sz="0" w:space="0" w:color="auto"/>
              <w:insideV w:val="none" w:sz="0" w:space="0" w:color="auto"/>
            </w:tcBorders>
          </w:tcPr>
          <w:p>
            <w:r>
              <w:rPr>
                <w:rFonts w:ascii="Times New Roman" w:hAnsi="Times New Roman"/>
                <w:b/>
                <w:sz w:val="22"/>
              </w:rPr>
              <w:t>Place</w:t>
            </w:r>
          </w:p>
        </w:tc>
        <w:tc>
          <w:tcPr>
            <w:tcW w:type="dxa" w:w="4680"/>
            <w:tcBorders>
              <w:top w:val="none" w:sz="0" w:space="0" w:color="auto"/>
              <w:left w:val="none" w:sz="0" w:space="0" w:color="auto"/>
              <w:bottom w:val="none" w:sz="0" w:space="0" w:color="auto"/>
              <w:right w:val="none" w:sz="0" w:space="0" w:color="auto"/>
              <w:insideH w:val="none" w:sz="0" w:space="0" w:color="auto"/>
              <w:insideV w:val="none" w:sz="0" w:space="0" w:color="auto"/>
            </w:tcBorders>
          </w:tcPr>
          <w:p>
            <w:r>
              <w:rPr>
                <w:rFonts w:ascii="Times New Roman" w:hAnsi="Times New Roman"/>
                <w:sz w:val="22"/>
              </w:rPr>
              <w:t xml:space="preserve">: </w:t>
            </w:r>
            <w:r>
              <w:rPr>
                <w:rFonts w:ascii="Times New Roman" w:hAnsi="Times New Roman"/>
                <w:sz w:val="22"/>
              </w:rPr>
              <w:t>Bengaluru</w:t>
            </w:r>
          </w:p>
        </w:tc>
      </w:tr>
    </w:tbl>
    <w:p/>
    <w:p>
      <w:pPr>
        <w:spacing w:after="80" w:before="0"/>
        <w:jc w:val="center"/>
      </w:pPr>
      <w:r>
        <w:rPr>
          <w:rFonts w:ascii="Times New Roman" w:hAnsi="Times New Roman"/>
          <w:b/>
          <w:sz w:val="28"/>
          <w:u w:val="single"/>
        </w:rPr>
        <w:t>ANNEXURE II</w:t>
      </w:r>
    </w:p>
    <w:p>
      <w:pPr>
        <w:spacing w:after="120" w:before="0"/>
        <w:jc w:val="center"/>
      </w:pPr>
      <w:r>
        <w:rPr>
          <w:rFonts w:ascii="Times New Roman" w:hAnsi="Times New Roman"/>
          <w:b/>
          <w:sz w:val="26"/>
        </w:rPr>
        <w:t>PROGRESS REPORT – II</w:t>
      </w:r>
    </w:p>
    <w:p>
      <w:pPr>
        <w:spacing w:after="200" w:before="0"/>
        <w:jc w:val="center"/>
      </w:pPr>
      <w:r>
        <w:rPr>
          <w:rFonts w:ascii="Times New Roman" w:hAnsi="Times New Roman"/>
          <w:b/>
          <w:sz w:val="22"/>
        </w:rPr>
        <w:t>Title: “Cross-Jurisdictional Use of Machine Learning in United States and Indian</w:t>
        <w:br/>
        <w:t>Securities Enforcement: Regulatory Architecture, Due Process, and Reform”</w:t>
      </w:r>
    </w:p>
    <w:p>
      <w:pPr>
        <w:spacing w:after="240" w:before="0"/>
        <w:jc w:val="center"/>
      </w:pPr>
      <w:r>
        <w:rPr>
          <w:rFonts w:ascii="Times New Roman" w:hAnsi="Times New Roman"/>
          <w:b w:val="0"/>
          <w:sz w:val="22"/>
        </w:rPr>
        <w:t>Reporting Period: October 2025 – January 2026</w:t>
      </w:r>
    </w:p>
    <w:p>
      <w:pPr>
        <w:spacing w:after="160" w:before="0"/>
        <w:jc w:val="left"/>
      </w:pPr>
      <w:r>
        <w:rPr>
          <w:rFonts w:ascii="Times New Roman" w:hAnsi="Times New Roman"/>
          <w:b/>
          <w:sz w:val="24"/>
          <w:u w:val="single"/>
        </w:rPr>
        <w:t>WORK COMPLETED IN THIS PHASE</w:t>
      </w:r>
    </w:p>
    <w:p>
      <w:pPr>
        <w:spacing w:after="160" w:before="0"/>
        <w:jc w:val="both"/>
      </w:pPr>
      <w:r>
        <w:rPr>
          <w:rFonts w:ascii="Times New Roman" w:hAnsi="Times New Roman"/>
          <w:b w:val="0"/>
          <w:sz w:val="24"/>
        </w:rPr>
        <w:t>The second phase of the dissertation (October 2025–January 2026) constituted the substantive core of the research, encompassing the analysis of ML deployment in both US and Indian securities enforcement, the examination of algorithmic bias, the evaluation of Indian constitutional and data governance frameworks, the systematic comparative analysis across all six dimensions, and the development of the model regulatory framework with policy recommendations. Chapters IV through IX were drafted and revised during this period.</w:t>
      </w:r>
    </w:p>
    <w:p>
      <w:pPr>
        <w:spacing w:after="120" w:before="0"/>
        <w:jc w:val="left"/>
      </w:pPr>
      <w:r>
        <w:rPr>
          <w:rFonts w:ascii="Times New Roman" w:hAnsi="Times New Roman"/>
          <w:b/>
          <w:sz w:val="24"/>
        </w:rPr>
        <w:t>Chapter IV: Machine Learning in United States Securities Enforcement</w:t>
      </w:r>
    </w:p>
    <w:p>
      <w:pPr>
        <w:spacing w:after="120" w:before="0"/>
        <w:jc w:val="both"/>
      </w:pPr>
      <w:r>
        <w:rPr>
          <w:rFonts w:ascii="Times New Roman" w:hAnsi="Times New Roman"/>
          <w:b w:val="0"/>
          <w:sz w:val="24"/>
        </w:rPr>
        <w:t>This chapter undertook a detailed examination of the specific ML systems deployed by US regulators. The SEC’s Division of Economic and Risk Analysis (DERA) and its Aberrational Quarterly Metric (AQM) system—commonly referred to as ‘RoboCop’—were analysed in depth, documenting how supervised learning algorithms identify statistically anomalous return patterns across thousands of registered investment advisers. The analysis traced AQM’s operational methodology, from data ingestion through Form ADV and Form PF filings to the generation of enforcement referrals, and evaluated its documented success in detecting fraudulent performance reporting.</w:t>
      </w:r>
    </w:p>
    <w:p>
      <w:pPr>
        <w:spacing w:after="120" w:before="0"/>
        <w:jc w:val="both"/>
      </w:pPr>
      <w:r>
        <w:rPr>
          <w:rFonts w:ascii="Times New Roman" w:hAnsi="Times New Roman"/>
          <w:b w:val="0"/>
          <w:sz w:val="24"/>
        </w:rPr>
        <w:t>FINRA’s cross-market surveillance infrastructure was examined in detail, including its processing of approximately 100 billion market events daily, the deployment of natural language processing (NLP) for communications surveillance under Rule 3110, and the application of network analysis algorithms for identifying coordinated manipulative trading patterns. The CFTC’s approach to spoofing detection—particularly in the context of the Dodd-Frank Act Section 747 and the prosecution of Navinder Singh Sarao—was analysed as a case study in ML-assisted enforcement of market manipulation prohibitions.</w:t>
      </w:r>
    </w:p>
    <w:p>
      <w:pPr>
        <w:spacing w:after="160" w:before="0"/>
        <w:jc w:val="both"/>
      </w:pPr>
      <w:r>
        <w:rPr>
          <w:rFonts w:ascii="Times New Roman" w:hAnsi="Times New Roman"/>
          <w:b w:val="0"/>
          <w:sz w:val="24"/>
        </w:rPr>
        <w:t>The chapter also examined the SEC’s EDGAR full-text search system and corporate filing analytics, demonstrating how NLP techniques are applied to detect anomalies in corporate disclosures. The evidentiary and procedural implications of ML-generated outputs in administrative and judicial proceedings were evaluated, including challenges to algorithmic evidence under the Federal Rules of Evidence and the Daubert standard.</w:t>
      </w:r>
    </w:p>
    <w:p>
      <w:pPr>
        <w:spacing w:after="120" w:before="0"/>
        <w:jc w:val="left"/>
      </w:pPr>
      <w:r>
        <w:rPr>
          <w:rFonts w:ascii="Times New Roman" w:hAnsi="Times New Roman"/>
          <w:b/>
          <w:sz w:val="24"/>
        </w:rPr>
        <w:t>Chapter V: Machine Learning in Indian Securities Enforcement</w:t>
      </w:r>
    </w:p>
    <w:p>
      <w:pPr>
        <w:spacing w:after="120" w:before="0"/>
        <w:jc w:val="both"/>
      </w:pPr>
      <w:r>
        <w:rPr>
          <w:rFonts w:ascii="Times New Roman" w:hAnsi="Times New Roman"/>
          <w:b w:val="0"/>
          <w:sz w:val="24"/>
        </w:rPr>
        <w:t>The analysis of SEBI’s ML-driven enforcement ecosystem was conducted comprehensively. The Integrated Market Surveillance System (IMSS) was examined in its operational detail, documenting how it monitors over 140 alert parameters across cash, derivatives, and corporate bond segments using real-time data feeds from NSE and BSE. The Data Warehousing and Business Intelligence System (DWBIS) was analysed as the centralised repository supporting pattern recognition across historical trading data.</w:t>
      </w:r>
    </w:p>
    <w:p>
      <w:pPr>
        <w:spacing w:after="120" w:before="0"/>
        <w:jc w:val="both"/>
      </w:pPr>
      <w:r>
        <w:rPr>
          <w:rFonts w:ascii="Times New Roman" w:hAnsi="Times New Roman"/>
          <w:b w:val="0"/>
          <w:sz w:val="24"/>
        </w:rPr>
        <w:t>Key enforcement cases were examined to evaluate the operational effectiveness of SEBI’s ML surveillance. The NSE co-location scandal was analysed as a critical case study illustrating both the capabilities and limitations of algorithmic surveillance in detecting infrastructure-level market manipulation. The IL&amp;FS corporate governance failure, the Yes Bank crisis, the Karvy Stock Broking fraud, and the Saradha chit fund scandal were examined as instances where ML-driven surveillance either contributed to detection or, critically, failed to provide adequate early warning.</w:t>
      </w:r>
    </w:p>
    <w:p>
      <w:pPr>
        <w:spacing w:after="160" w:before="0"/>
        <w:jc w:val="both"/>
      </w:pPr>
      <w:r>
        <w:rPr>
          <w:rFonts w:ascii="Times New Roman" w:hAnsi="Times New Roman"/>
          <w:b w:val="0"/>
          <w:sz w:val="24"/>
        </w:rPr>
        <w:t>SEBI’s Structured Digital Database (SDD) requirement under the Prohibition of Insider Trading Regulations 2015 was analysed as a regulatory data infrastructure supporting ML deployment, and its limitations in the context of distributed corporate structures were identified.</w:t>
      </w:r>
    </w:p>
    <w:p>
      <w:pPr>
        <w:spacing w:after="120" w:before="0"/>
        <w:jc w:val="left"/>
      </w:pPr>
      <w:r>
        <w:rPr>
          <w:rFonts w:ascii="Times New Roman" w:hAnsi="Times New Roman"/>
          <w:b/>
          <w:sz w:val="24"/>
        </w:rPr>
        <w:t>Chapter VI: Algorithmic Bias in Securities Enforcement</w:t>
      </w:r>
    </w:p>
    <w:p>
      <w:pPr>
        <w:spacing w:after="120" w:before="0"/>
        <w:jc w:val="both"/>
      </w:pPr>
      <w:r>
        <w:rPr>
          <w:rFonts w:ascii="Times New Roman" w:hAnsi="Times New Roman"/>
          <w:b w:val="0"/>
          <w:sz w:val="24"/>
        </w:rPr>
        <w:t>This chapter developed a comprehensive framework for understanding and mitigating algorithmic bias in the specific context of securities enforcement. Multiple sources of bias were identified and analysed: training data bias arising from historical enforcement patterns (which may embed and perpetuate prior regulatory biases), proxy discrimination through features that correlate with protected characteristics without directly encoding them, temporal drift as market conditions evolve beyond the training data distribution, and sector-specific disparate impact where certain market segments are disproportionately flagged.</w:t>
      </w:r>
    </w:p>
    <w:p>
      <w:pPr>
        <w:spacing w:after="160" w:before="0"/>
        <w:jc w:val="both"/>
      </w:pPr>
      <w:r>
        <w:rPr>
          <w:rFonts w:ascii="Times New Roman" w:hAnsi="Times New Roman"/>
          <w:b w:val="0"/>
          <w:sz w:val="24"/>
        </w:rPr>
        <w:t>A multi-factor bias assessment framework was proposed for regulatory ML systems, incorporating demographic parity analysis, equalised odds evaluation, individual fairness metrics, and counterfactual fairness testing. The chapter examined the legal implications of biased enforcement in both jurisdictions, including potential violations of the Equal Protection Clause in the US and Article 14 of the Indian Constitution.</w:t>
      </w:r>
    </w:p>
    <w:p>
      <w:pPr>
        <w:spacing w:after="120" w:before="0"/>
        <w:jc w:val="left"/>
      </w:pPr>
      <w:r>
        <w:rPr>
          <w:rFonts w:ascii="Times New Roman" w:hAnsi="Times New Roman"/>
          <w:b/>
          <w:sz w:val="24"/>
        </w:rPr>
        <w:t>Chapter VII: Indian Constitutional and Data Governance Framework</w:t>
      </w:r>
    </w:p>
    <w:p>
      <w:pPr>
        <w:spacing w:after="120" w:before="0"/>
        <w:jc w:val="both"/>
      </w:pPr>
      <w:r>
        <w:rPr>
          <w:rFonts w:ascii="Times New Roman" w:hAnsi="Times New Roman"/>
          <w:b w:val="0"/>
          <w:sz w:val="24"/>
        </w:rPr>
        <w:t>The constitutional dimensions of ML-driven enforcement in India were analysed in depth. Article 14 (equality and non-arbitrariness) was examined through the lens of the Wednesbury reasonableness doctrine and the proportionality standard articulated in Modern Dental College v. State of Madhya Pradesh, evaluating whether algorithmic decision-making satisfies the constitutional requirement of non-arbitrary state action. Article 19(1)(g) (freedom of trade) and its intersection with ML-initiated enforcement restrictions were analysed. Article 21 (right to life and personal liberty), as expanded through the right to privacy in Justice K.S. Puttaswamy v. Union of India, was examined in the context of mass surveillance through ML-driven market monitoring.</w:t>
      </w:r>
    </w:p>
    <w:p>
      <w:pPr>
        <w:spacing w:after="160" w:before="0"/>
        <w:jc w:val="both"/>
      </w:pPr>
      <w:r>
        <w:rPr>
          <w:rFonts w:ascii="Times New Roman" w:hAnsi="Times New Roman"/>
          <w:b w:val="0"/>
          <w:sz w:val="24"/>
        </w:rPr>
        <w:t>The Digital Personal Data Protection Act 2023 was analysed for its implications for SEBI’s data processing practices, including questions of lawful basis for processing, data minimisation obligations, and the scope of the regulatory exemption. The Bharatiya Sakshya Adhiniyam 2023 (replacing the Indian Evidence Act 1872) was examined for its provisions on electronic evidence (Sections 61–65), with particular attention to the admissibility of ML-generated analytical outputs as evidence in SEBI enforcement proceedings.</w:t>
      </w:r>
    </w:p>
    <w:p>
      <w:pPr>
        <w:spacing w:after="120" w:before="0"/>
        <w:jc w:val="left"/>
      </w:pPr>
      <w:r>
        <w:rPr>
          <w:rFonts w:ascii="Times New Roman" w:hAnsi="Times New Roman"/>
          <w:b/>
          <w:sz w:val="24"/>
        </w:rPr>
        <w:t>Chapter VIII: Comparative Analysis</w:t>
      </w:r>
    </w:p>
    <w:p>
      <w:pPr>
        <w:spacing w:after="120" w:before="0"/>
        <w:jc w:val="both"/>
      </w:pPr>
      <w:r>
        <w:rPr>
          <w:rFonts w:ascii="Times New Roman" w:hAnsi="Times New Roman"/>
          <w:b w:val="0"/>
          <w:sz w:val="24"/>
        </w:rPr>
        <w:t>The systematic comparative analysis was conducted across all six dimensions. Key findings include: the US multi-regulator model provides greater specialisation but faces coordination challenges, while SEBI’s consolidated authority enables faster deployment but lacks external accountability mechanisms; US regulators have more mature ML operational infrastructure but face growing due process scrutiny post-Jarkesy, while India’s systems are evolving rapidly but lack transparent validation protocols; the US framework provides stronger adversarial safeguards through the APA and Seventh Amendment, while India’s constitutional framework offers broader fundamental rights protections but weaker procedural mechanisms for challenging algorithmic decisions.</w:t>
      </w:r>
    </w:p>
    <w:p>
      <w:pPr>
        <w:spacing w:after="160" w:before="0"/>
        <w:jc w:val="both"/>
      </w:pPr>
      <w:r>
        <w:rPr>
          <w:rFonts w:ascii="Times New Roman" w:hAnsi="Times New Roman"/>
          <w:b w:val="0"/>
          <w:sz w:val="24"/>
        </w:rPr>
        <w:t>Cross-border coordination mechanisms were found to be substantially underdeveloped in both jurisdictions, with existing bilateral MOUs (such as the SEBI-SEC Cooperative Agreement) not addressing ML-specific issues including model validation sharing, training data exchange protocols, or coordinated algorithmic surveillance standards.</w:t>
      </w:r>
    </w:p>
    <w:p>
      <w:pPr>
        <w:spacing w:after="120" w:before="0"/>
        <w:jc w:val="left"/>
      </w:pPr>
      <w:r>
        <w:rPr>
          <w:rFonts w:ascii="Times New Roman" w:hAnsi="Times New Roman"/>
          <w:b/>
          <w:sz w:val="24"/>
        </w:rPr>
        <w:t>Chapter IX: Conclusion, Model Regulatory Framework, and Policy Recommendations</w:t>
      </w:r>
    </w:p>
    <w:p>
      <w:pPr>
        <w:spacing w:after="120" w:before="0"/>
        <w:jc w:val="both"/>
      </w:pPr>
      <w:r>
        <w:rPr>
          <w:rFonts w:ascii="Times New Roman" w:hAnsi="Times New Roman"/>
          <w:b w:val="0"/>
          <w:sz w:val="24"/>
        </w:rPr>
        <w:t>The concluding chapter synthesised the research findings and presented the model regulatory framework. The framework incorporates five principal components:</w:t>
      </w:r>
    </w:p>
    <w:p>
      <w:pPr>
        <w:spacing w:after="120" w:before="0"/>
        <w:jc w:val="both"/>
      </w:pPr>
      <w:r>
        <w:rPr>
          <w:rFonts w:ascii="Times New Roman" w:hAnsi="Times New Roman"/>
          <w:b w:val="0"/>
          <w:sz w:val="24"/>
        </w:rPr>
        <w:t>First, a tiered explainability protocol modelled on the EU Artificial Intelligence Act’s risk classification, requiring increasing levels of algorithmic transparency as the severity of enforcement consequences escalates. Second, mandatory bias auditing requirements for all ML systems deployed in securities enforcement, including pre-deployment impact assessments and periodic recalibration obligations. Third, a bilateral US-India ML Coordination Agreement establishing standards for cross-border model validation, training data sharing, and coordinated surveillance protocols. Fourth, institutional capacity-building measures for both jurisdictions, including dedicated AI governance units within regulatory agencies.</w:t>
      </w:r>
    </w:p>
    <w:p>
      <w:pPr>
        <w:spacing w:after="200" w:before="0"/>
        <w:jc w:val="both"/>
      </w:pPr>
      <w:r>
        <w:rPr>
          <w:rFonts w:ascii="Times New Roman" w:hAnsi="Times New Roman"/>
          <w:b w:val="0"/>
          <w:sz w:val="24"/>
        </w:rPr>
        <w:t>Five India-specific legislative reforms were proposed: (i) insertion of a new Section 11G in the SEBI Act 1992 providing explicit statutory authority and governance requirements for ML deployment; (ii) amendment of SEBI procedural regulations to incorporate algorithmic transparency obligations; (iii) establishment of an independent ML Audit Board within SEBI’s governance structure; (iv) harmonisation of SEBI’s data processing practices with the DPDP Act 2023; and (v) development of evidentiary guidelines for ML-generated outputs under the Bharatiya Sakshya Adhiniyam 2023.</w:t>
      </w:r>
    </w:p>
    <w:p>
      <w:pPr>
        <w:spacing w:after="120" w:before="160"/>
        <w:jc w:val="left"/>
      </w:pPr>
      <w:r>
        <w:rPr>
          <w:rFonts w:ascii="Times New Roman" w:hAnsi="Times New Roman"/>
          <w:b/>
          <w:sz w:val="24"/>
          <w:u w:val="single"/>
        </w:rPr>
        <w:t>TIMELINE OF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c>
          <w:tcPr>
            <w:tcW w:type="dxa" w:w="4680"/>
            <w:shd w:fill="D9E2F3" w:val="clear"/>
          </w:tcPr>
          <w:p>
            <w:pPr>
              <w:jc w:val="center"/>
            </w:pPr>
            <w:r>
              <w:rPr>
                <w:rFonts w:ascii="Times New Roman" w:hAnsi="Times New Roman"/>
                <w:b/>
                <w:sz w:val="20"/>
              </w:rPr>
              <w:t>Period</w:t>
            </w:r>
          </w:p>
        </w:tc>
        <w:tc>
          <w:tcPr>
            <w:tcW w:type="dxa" w:w="4680"/>
            <w:shd w:fill="D9E2F3" w:val="clear"/>
          </w:tcPr>
          <w:p>
            <w:pPr>
              <w:jc w:val="center"/>
            </w:pPr>
            <w:r>
              <w:rPr>
                <w:rFonts w:ascii="Times New Roman" w:hAnsi="Times New Roman"/>
                <w:b/>
                <w:sz w:val="20"/>
              </w:rPr>
              <w:t>Work Undertaken</w:t>
            </w:r>
          </w:p>
        </w:tc>
      </w:tr>
      <w:tr>
        <w:tc>
          <w:tcPr>
            <w:tcW w:type="dxa" w:w="4680"/>
          </w:tcPr>
          <w:p>
            <w:pPr>
              <w:jc w:val="center"/>
            </w:pPr>
            <w:r>
              <w:rPr>
                <w:rFonts w:ascii="Times New Roman" w:hAnsi="Times New Roman"/>
                <w:b/>
                <w:sz w:val="20"/>
              </w:rPr>
              <w:t>October 2025 (Weeks 1–2)</w:t>
            </w:r>
          </w:p>
        </w:tc>
        <w:tc>
          <w:tcPr>
            <w:tcW w:type="dxa" w:w="4680"/>
          </w:tcPr>
          <w:p>
            <w:pPr>
              <w:jc w:val="both"/>
            </w:pPr>
            <w:r>
              <w:rPr>
                <w:rFonts w:ascii="Times New Roman" w:hAnsi="Times New Roman"/>
                <w:sz w:val="20"/>
              </w:rPr>
              <w:t>Analysis of ML systems in US enforcement (DERA/AQM, FINRA surveillance, CFTC spoofing detection); study of enforcement case outcomes; drafting Chapter IV.</w:t>
            </w:r>
          </w:p>
        </w:tc>
      </w:tr>
      <w:tr>
        <w:tc>
          <w:tcPr>
            <w:tcW w:type="dxa" w:w="4680"/>
          </w:tcPr>
          <w:p>
            <w:pPr>
              <w:jc w:val="center"/>
            </w:pPr>
            <w:r>
              <w:rPr>
                <w:rFonts w:ascii="Times New Roman" w:hAnsi="Times New Roman"/>
                <w:b/>
                <w:sz w:val="20"/>
              </w:rPr>
              <w:t>October 2025 (Weeks 3–4)</w:t>
            </w:r>
          </w:p>
        </w:tc>
        <w:tc>
          <w:tcPr>
            <w:tcW w:type="dxa" w:w="4680"/>
          </w:tcPr>
          <w:p>
            <w:pPr>
              <w:jc w:val="both"/>
            </w:pPr>
            <w:r>
              <w:rPr>
                <w:rFonts w:ascii="Times New Roman" w:hAnsi="Times New Roman"/>
                <w:sz w:val="20"/>
              </w:rPr>
              <w:t>Analysis of SEBI’s ML surveillance ecosystem (IMSS, DWBIS, SDD); case study analysis (NSE co-location, IL&amp;FS, Yes Bank, Karvy, Saradha); drafting Chapter V.</w:t>
            </w:r>
          </w:p>
        </w:tc>
      </w:tr>
      <w:tr>
        <w:tc>
          <w:tcPr>
            <w:tcW w:type="dxa" w:w="4680"/>
          </w:tcPr>
          <w:p>
            <w:pPr>
              <w:jc w:val="center"/>
            </w:pPr>
            <w:r>
              <w:rPr>
                <w:rFonts w:ascii="Times New Roman" w:hAnsi="Times New Roman"/>
                <w:b/>
                <w:sz w:val="20"/>
              </w:rPr>
              <w:t>November 2025 (Weeks 1–2)</w:t>
            </w:r>
          </w:p>
        </w:tc>
        <w:tc>
          <w:tcPr>
            <w:tcW w:type="dxa" w:w="4680"/>
          </w:tcPr>
          <w:p>
            <w:pPr>
              <w:jc w:val="both"/>
            </w:pPr>
            <w:r>
              <w:rPr>
                <w:rFonts w:ascii="Times New Roman" w:hAnsi="Times New Roman"/>
                <w:sz w:val="20"/>
              </w:rPr>
              <w:t>Research on algorithmic bias in securities enforcement; development of multi-factor bias assessment framework; analysis of legal implications under US and Indian law; drafting Chapter VI.</w:t>
            </w:r>
          </w:p>
        </w:tc>
      </w:tr>
      <w:tr>
        <w:tc>
          <w:tcPr>
            <w:tcW w:type="dxa" w:w="4680"/>
          </w:tcPr>
          <w:p>
            <w:pPr>
              <w:jc w:val="center"/>
            </w:pPr>
            <w:r>
              <w:rPr>
                <w:rFonts w:ascii="Times New Roman" w:hAnsi="Times New Roman"/>
                <w:b/>
                <w:sz w:val="20"/>
              </w:rPr>
              <w:t>November 2025 (Weeks 3–4)</w:t>
            </w:r>
          </w:p>
        </w:tc>
        <w:tc>
          <w:tcPr>
            <w:tcW w:type="dxa" w:w="4680"/>
          </w:tcPr>
          <w:p>
            <w:pPr>
              <w:jc w:val="both"/>
            </w:pPr>
            <w:r>
              <w:rPr>
                <w:rFonts w:ascii="Times New Roman" w:hAnsi="Times New Roman"/>
                <w:sz w:val="20"/>
              </w:rPr>
              <w:t>Analysis of Indian constitutional provisions (Articles 14, 19(1)(g), 21); examination of DPDP Act 2023 and BSA 2023 implications for ML enforcement; drafting Chapter VII.</w:t>
            </w:r>
          </w:p>
        </w:tc>
      </w:tr>
      <w:tr>
        <w:tc>
          <w:tcPr>
            <w:tcW w:type="dxa" w:w="4680"/>
          </w:tcPr>
          <w:p>
            <w:pPr>
              <w:jc w:val="center"/>
            </w:pPr>
            <w:r>
              <w:rPr>
                <w:rFonts w:ascii="Times New Roman" w:hAnsi="Times New Roman"/>
                <w:b/>
                <w:sz w:val="20"/>
              </w:rPr>
              <w:t>December 2025 (Weeks 1–2)</w:t>
            </w:r>
          </w:p>
        </w:tc>
        <w:tc>
          <w:tcPr>
            <w:tcW w:type="dxa" w:w="4680"/>
          </w:tcPr>
          <w:p>
            <w:pPr>
              <w:jc w:val="both"/>
            </w:pPr>
            <w:r>
              <w:rPr>
                <w:rFonts w:ascii="Times New Roman" w:hAnsi="Times New Roman"/>
                <w:sz w:val="20"/>
              </w:rPr>
              <w:t>Systematic comparative analysis across six dimensions; identification of convergences, divergences, and best practices; drafting Chapter VIII.</w:t>
            </w:r>
          </w:p>
        </w:tc>
      </w:tr>
      <w:tr>
        <w:tc>
          <w:tcPr>
            <w:tcW w:type="dxa" w:w="4680"/>
          </w:tcPr>
          <w:p>
            <w:pPr>
              <w:jc w:val="center"/>
            </w:pPr>
            <w:r>
              <w:rPr>
                <w:rFonts w:ascii="Times New Roman" w:hAnsi="Times New Roman"/>
                <w:b/>
                <w:sz w:val="20"/>
              </w:rPr>
              <w:t>December 2025 (Weeks 3–4)</w:t>
            </w:r>
          </w:p>
        </w:tc>
        <w:tc>
          <w:tcPr>
            <w:tcW w:type="dxa" w:w="4680"/>
          </w:tcPr>
          <w:p>
            <w:pPr>
              <w:jc w:val="both"/>
            </w:pPr>
            <w:r>
              <w:rPr>
                <w:rFonts w:ascii="Times New Roman" w:hAnsi="Times New Roman"/>
                <w:sz w:val="20"/>
              </w:rPr>
              <w:t>Development of model regulatory framework; formulation of tiered explainability protocol, bias auditing standards, and bilateral coordination mechanisms; drafting Chapter IX.</w:t>
            </w:r>
          </w:p>
        </w:tc>
      </w:tr>
      <w:tr>
        <w:tc>
          <w:tcPr>
            <w:tcW w:type="dxa" w:w="4680"/>
          </w:tcPr>
          <w:p>
            <w:pPr>
              <w:jc w:val="center"/>
            </w:pPr>
            <w:r>
              <w:rPr>
                <w:rFonts w:ascii="Times New Roman" w:hAnsi="Times New Roman"/>
                <w:b/>
                <w:sz w:val="20"/>
              </w:rPr>
              <w:t>January 2026 (Weeks 1–2)</w:t>
            </w:r>
          </w:p>
        </w:tc>
        <w:tc>
          <w:tcPr>
            <w:tcW w:type="dxa" w:w="4680"/>
          </w:tcPr>
          <w:p>
            <w:pPr>
              <w:jc w:val="both"/>
            </w:pPr>
            <w:r>
              <w:rPr>
                <w:rFonts w:ascii="Times New Roman" w:hAnsi="Times New Roman"/>
                <w:sz w:val="20"/>
              </w:rPr>
              <w:t>Formulation of India-specific legislative reform proposals (Section 11G SEBI Act amendment and four ancillary reforms); finalisation of policy recommendations.</w:t>
            </w:r>
          </w:p>
        </w:tc>
      </w:tr>
      <w:tr>
        <w:tc>
          <w:tcPr>
            <w:tcW w:type="dxa" w:w="4680"/>
          </w:tcPr>
          <w:p>
            <w:pPr>
              <w:jc w:val="center"/>
            </w:pPr>
            <w:r>
              <w:rPr>
                <w:rFonts w:ascii="Times New Roman" w:hAnsi="Times New Roman"/>
                <w:b/>
                <w:sz w:val="20"/>
              </w:rPr>
              <w:t>January 2026 (Weeks 3–4)</w:t>
            </w:r>
          </w:p>
        </w:tc>
        <w:tc>
          <w:tcPr>
            <w:tcW w:type="dxa" w:w="4680"/>
          </w:tcPr>
          <w:p>
            <w:pPr>
              <w:jc w:val="both"/>
            </w:pPr>
            <w:r>
              <w:rPr>
                <w:rFonts w:ascii="Times New Roman" w:hAnsi="Times New Roman"/>
                <w:sz w:val="20"/>
              </w:rPr>
              <w:t>Comprehensive revision of Chapters IV–IX; integration of Guide’s feedback; bibliography compilation; formatting and final review; preparation of Progress Report II.</w:t>
            </w:r>
          </w:p>
        </w:tc>
      </w:tr>
    </w:tbl>
    <w:p/>
    <w:p/>
    <w:tbl>
      <w:tblPr>
        <w:tblW w:type="auto" w:w="0"/>
        <w:jc w:val="center"/>
        <w:tblLook w:firstColumn="1" w:firstRow="1" w:lastColumn="0" w:lastRow="0" w:noHBand="0" w:noVBand="1" w:val="04A0"/>
      </w:tblPr>
      <w:tblGrid>
        <w:gridCol w:w="4680"/>
        <w:gridCol w:w="4680"/>
      </w:tblGrid>
      <w:tr>
        <w:tc>
          <w:tcPr>
            <w:tcW w:type="dxa" w:w="4680"/>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jc w:val="center"/>
            </w:pPr>
            <w:r>
              <w:rPr>
                <w:rFonts w:ascii="Times New Roman" w:hAnsi="Times New Roman"/>
                <w:sz w:val="22"/>
              </w:rPr>
              <w:t>____________________________</w:t>
            </w:r>
          </w:p>
        </w:tc>
        <w:tc>
          <w:tcPr>
            <w:tcW w:type="dxa" w:w="4680"/>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jc w:val="center"/>
            </w:pPr>
            <w:r>
              <w:rPr>
                <w:rFonts w:ascii="Times New Roman" w:hAnsi="Times New Roman"/>
                <w:sz w:val="22"/>
              </w:rPr>
              <w:t>____________________________</w:t>
            </w:r>
          </w:p>
        </w:tc>
      </w:tr>
      <w:tr>
        <w:tc>
          <w:tcPr>
            <w:tcW w:type="dxa" w:w="4680"/>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jc w:val="center"/>
            </w:pPr>
            <w:r>
              <w:rPr>
                <w:rFonts w:ascii="Times New Roman" w:hAnsi="Times New Roman"/>
                <w:b/>
                <w:sz w:val="22"/>
              </w:rPr>
              <w:t>Chitraksh Mayank</w:t>
            </w:r>
          </w:p>
        </w:tc>
        <w:tc>
          <w:tcPr>
            <w:tcW w:type="dxa" w:w="4680"/>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jc w:val="center"/>
            </w:pPr>
            <w:r>
              <w:rPr>
                <w:rFonts w:ascii="Times New Roman" w:hAnsi="Times New Roman"/>
                <w:b/>
                <w:sz w:val="22"/>
              </w:rPr>
              <w:t>Dr. Kush Kalra</w:t>
            </w:r>
          </w:p>
        </w:tc>
      </w:tr>
      <w:tr>
        <w:tc>
          <w:tcPr>
            <w:tcW w:type="dxa" w:w="4680"/>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jc w:val="center"/>
            </w:pPr>
            <w:r>
              <w:rPr>
                <w:rFonts w:ascii="Times New Roman" w:hAnsi="Times New Roman"/>
                <w:sz w:val="20"/>
              </w:rPr>
              <w:t>(Student)</w:t>
            </w:r>
          </w:p>
        </w:tc>
        <w:tc>
          <w:tcPr>
            <w:tcW w:type="dxa" w:w="4680"/>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jc w:val="center"/>
            </w:pPr>
            <w:r>
              <w:rPr>
                <w:rFonts w:ascii="Times New Roman" w:hAnsi="Times New Roman"/>
                <w:sz w:val="20"/>
              </w:rPr>
              <w:t>(Guide)</w:t>
            </w:r>
          </w:p>
        </w:tc>
      </w:tr>
    </w:tbl>
    <w:p/>
    <w:p>
      <w:pPr>
        <w:jc w:val="left"/>
      </w:pPr>
      <w:r>
        <w:rPr>
          <w:rFonts w:ascii="Times New Roman" w:hAnsi="Times New Roman"/>
          <w:sz w:val="22"/>
        </w:rPr>
        <w:t>Date: _______________</w:t>
      </w:r>
    </w:p>
    <w:p>
      <w:pPr>
        <w:jc w:val="left"/>
      </w:pPr>
      <w:r>
        <w:rPr>
          <w:rFonts w:ascii="Times New Roman" w:hAnsi="Times New Roman"/>
          <w:sz w:val="22"/>
        </w:rPr>
        <w:t>Place: Bengaluru</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