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sz w:val="32"/>
        </w:rPr>
        <w:t>SVKM’S NMIMS</w:t>
      </w:r>
    </w:p>
    <w:p>
      <w:pPr>
        <w:spacing w:after="40" w:before="0"/>
        <w:jc w:val="center"/>
      </w:pPr>
      <w:r>
        <w:rPr>
          <w:rFonts w:ascii="Times New Roman" w:hAnsi="Times New Roman"/>
          <w:b w:val="0"/>
          <w:sz w:val="20"/>
        </w:rPr>
        <w:t>(Deemed-to-be University under section 3 of the UGC Act, 1956)</w:t>
      </w:r>
    </w:p>
    <w:p>
      <w:pPr>
        <w:spacing w:after="80" w:before="0"/>
        <w:jc w:val="center"/>
      </w:pPr>
      <w:r>
        <w:rPr>
          <w:rFonts w:ascii="Times New Roman" w:hAnsi="Times New Roman"/>
          <w:b/>
          <w:sz w:val="26"/>
        </w:rPr>
        <w:t>School of Law, Bengaluru</w:t>
      </w:r>
    </w:p>
    <w:p>
      <w:pPr>
        <w:spacing w:after="240" w:before="0"/>
        <w:jc w:val="center"/>
      </w:pPr>
      <w:r>
        <w:rPr>
          <w:rFonts w:ascii="Times New Roman" w:hAnsi="Times New Roman"/>
          <w:b w:val="0"/>
          <w:sz w:val="22"/>
        </w:rPr>
        <w:t>Academic Year 2025–26</w:t>
      </w:r>
    </w:p>
    <w:p>
      <w:pPr>
        <w:spacing w:after="80" w:before="0"/>
        <w:jc w:val="center"/>
      </w:pPr>
      <w:r>
        <w:rPr>
          <w:rFonts w:ascii="Times New Roman" w:hAnsi="Times New Roman"/>
          <w:b/>
          <w:sz w:val="28"/>
          <w:u w:val="single"/>
        </w:rPr>
        <w:t>ANNEXURE I</w:t>
      </w:r>
    </w:p>
    <w:p>
      <w:pPr>
        <w:spacing w:after="240" w:before="0"/>
        <w:jc w:val="center"/>
      </w:pPr>
      <w:r>
        <w:rPr>
          <w:rFonts w:ascii="Times New Roman" w:hAnsi="Times New Roman"/>
          <w:b/>
          <w:sz w:val="26"/>
        </w:rPr>
        <w:t>DISSERTATION SYNOPSIS</w:t>
      </w:r>
    </w:p>
    <w:tbl>
      <w:tblPr>
        <w:tblW w:type="auto" w:w="0"/>
        <w:jc w:val="left"/>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Name of the Student</w:t>
            </w:r>
          </w:p>
        </w:tc>
        <w:tc>
          <w:tcPr>
            <w:tcW w:type="dxa" w:w="57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Chitraksh Mayank</w:t>
            </w:r>
          </w:p>
        </w:tc>
      </w:tr>
      <w:t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Roll No.</w:t>
            </w:r>
          </w:p>
        </w:tc>
        <w:tc>
          <w:tcPr>
            <w:tcW w:type="dxa" w:w="57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A029</w:t>
            </w:r>
          </w:p>
        </w:tc>
      </w:tr>
      <w:t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Programme</w:t>
            </w:r>
          </w:p>
        </w:tc>
        <w:tc>
          <w:tcPr>
            <w:tcW w:type="dxa" w:w="57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B.A. LL.B. (Specialisation: Business Law)</w:t>
            </w:r>
          </w:p>
        </w:tc>
      </w:tr>
      <w:t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Name of the Guide</w:t>
            </w:r>
          </w:p>
        </w:tc>
        <w:tc>
          <w:tcPr>
            <w:tcW w:type="dxa" w:w="57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Dr. Kush Kalra, Assistant Professor of Law</w:t>
            </w:r>
          </w:p>
        </w:tc>
      </w:tr>
      <w:tr>
        <w:tc>
          <w:tcPr>
            <w:tcW w:type="dxa" w:w="360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b/>
                <w:sz w:val="22"/>
              </w:rPr>
              <w:t>Place</w:t>
            </w:r>
          </w:p>
        </w:tc>
        <w:tc>
          <w:tcPr>
            <w:tcW w:type="dxa" w:w="5760"/>
            <w:tcBorders>
              <w:top w:val="none" w:sz="0" w:space="0" w:color="auto"/>
              <w:left w:val="none" w:sz="0" w:space="0" w:color="auto"/>
              <w:bottom w:val="none" w:sz="0" w:space="0" w:color="auto"/>
              <w:right w:val="none" w:sz="0" w:space="0" w:color="auto"/>
              <w:insideH w:val="none" w:sz="0" w:space="0" w:color="auto"/>
              <w:insideV w:val="none" w:sz="0" w:space="0" w:color="auto"/>
            </w:tcBorders>
          </w:tcPr>
          <w:p>
            <w:r>
              <w:rPr>
                <w:rFonts w:ascii="Times New Roman" w:hAnsi="Times New Roman"/>
                <w:sz w:val="22"/>
              </w:rPr>
              <w:t xml:space="preserve">: </w:t>
            </w:r>
            <w:r>
              <w:rPr>
                <w:rFonts w:ascii="Times New Roman" w:hAnsi="Times New Roman"/>
                <w:sz w:val="22"/>
              </w:rPr>
              <w:t>Bengaluru</w:t>
            </w:r>
          </w:p>
        </w:tc>
      </w:tr>
    </w:tbl>
    <w:p/>
    <w:p>
      <w:pPr>
        <w:spacing w:after="120" w:before="120"/>
        <w:jc w:val="center"/>
      </w:pPr>
      <w:r>
        <w:rPr>
          <w:rFonts w:ascii="Times New Roman" w:hAnsi="Times New Roman"/>
          <w:b/>
          <w:sz w:val="24"/>
          <w:u w:val="single"/>
        </w:rPr>
        <w:t>TITLE OF THE DISSERTATION</w:t>
      </w:r>
    </w:p>
    <w:p>
      <w:pPr>
        <w:spacing w:after="240" w:before="0"/>
        <w:jc w:val="center"/>
      </w:pPr>
      <w:r>
        <w:rPr>
          <w:rFonts w:ascii="Times New Roman" w:hAnsi="Times New Roman"/>
          <w:b/>
          <w:sz w:val="24"/>
        </w:rPr>
        <w:t>“Cross-Jurisdictional Use of Machine Learning in United States and Indian</w:t>
        <w:br/>
        <w:t>Securities Enforcement: Regulatory Architecture, Due Process, and Reform”</w:t>
      </w:r>
    </w:p>
    <w:p>
      <w:pPr>
        <w:spacing w:after="160" w:before="240"/>
        <w:jc w:val="left"/>
      </w:pPr>
      <w:r>
        <w:rPr>
          <w:rFonts w:ascii="Times New Roman" w:hAnsi="Times New Roman"/>
          <w:b/>
          <w:sz w:val="26"/>
        </w:rPr>
        <w:t>1. INTRODUCTION</w:t>
      </w:r>
    </w:p>
    <w:p>
      <w:pPr>
        <w:spacing w:after="120" w:before="0"/>
        <w:jc w:val="left"/>
      </w:pPr>
      <w:r>
        <w:rPr>
          <w:rFonts w:ascii="Times New Roman" w:hAnsi="Times New Roman"/>
          <w:b/>
          <w:sz w:val="24"/>
        </w:rPr>
        <w:t>1.1 Background</w:t>
      </w:r>
    </w:p>
    <w:p>
      <w:pPr>
        <w:spacing w:after="120" w:before="0"/>
        <w:jc w:val="both"/>
      </w:pPr>
      <w:r>
        <w:rPr>
          <w:rFonts w:ascii="Times New Roman" w:hAnsi="Times New Roman"/>
          <w:b w:val="0"/>
          <w:sz w:val="24"/>
        </w:rPr>
        <w:t>The global securities markets have undergone a fundamental transformation in the twenty-first century, driven by the proliferation of algorithmic trading, high-frequency transaction execution, and increasingly complex financial instruments. This evolution has rendered traditional surveillance methodologies—premised on manual review and rule-based detection—structurally inadequate for identifying sophisticated forms of market manipulation, insider trading, and systemic fraud. In response, leading securities regulators in both the United States and India have turned to machine learning (ML) technologies as force multipliers in their enforcement architectures.</w:t>
      </w:r>
    </w:p>
    <w:p>
      <w:pPr>
        <w:spacing w:after="120" w:before="0"/>
        <w:jc w:val="both"/>
      </w:pPr>
      <w:r>
        <w:rPr>
          <w:rFonts w:ascii="Times New Roman" w:hAnsi="Times New Roman"/>
          <w:b w:val="0"/>
          <w:sz w:val="24"/>
        </w:rPr>
        <w:t>In the United States, the Securities and Exchange Commission (SEC), through its Division of Economic and Risk Analysis (DERA), has deployed the Aberrational Quarterly Metric (AQM) system—colloquially known as ‘RoboCop’—which employs supervised learning algorithms to detect anomalous return patterns across thousands of investment advisers. The Financial Industry Regulatory Authority (FINRA) operates cross-market surveillance systems processing approximately 100 billion market events daily, utilising natural language processing (NLP) for communications surveillance and network analysis for identifying coordinated manipulative behaviour. The Commodity Futures Trading Commission (CFTC) has similarly integrated ML capabilities for detecting spoofing and layering in derivatives markets.</w:t>
      </w:r>
    </w:p>
    <w:p>
      <w:pPr>
        <w:spacing w:after="120" w:before="0"/>
        <w:jc w:val="both"/>
      </w:pPr>
      <w:r>
        <w:rPr>
          <w:rFonts w:ascii="Times New Roman" w:hAnsi="Times New Roman"/>
          <w:b w:val="0"/>
          <w:sz w:val="24"/>
        </w:rPr>
        <w:t>In India, the Securities and Exchange Board of India (SEBI) has progressively adopted ML-driven surveillance through its Integrated Market Surveillance System (IMSS) and the Data Warehousing and Business Intelligence System (DWBIS), which monitor over 140 alert parameters across cash, derivatives, and corporate bond markets. These systems process real-time data feeds from the National Stock Exchange (NSE) and Bombay Stock Exchange (BSE), employing anomaly detection algorithms to flag suspected instances of front-running, circular trading, and price manipulation.</w:t>
      </w:r>
    </w:p>
    <w:p>
      <w:pPr>
        <w:spacing w:after="160" w:before="0"/>
        <w:jc w:val="both"/>
      </w:pPr>
      <w:r>
        <w:rPr>
          <w:rFonts w:ascii="Times New Roman" w:hAnsi="Times New Roman"/>
          <w:b w:val="0"/>
          <w:sz w:val="24"/>
        </w:rPr>
        <w:t>Despite this convergence in technological adoption, the two jurisdictions operate within fundamentally different regulatory philosophies, constitutional frameworks, and procedural safeguards. The United States follows a multi-regulator model governed by the Securities Exchange Act of 1934, subject to the due process requirements of the Administrative Procedure Act (APA) and recent judicial scrutiny following SEC v. Jarkesy (2024). India operates under the consolidated authority of SEBI, established under the SEBI Act 1992, within a constitutional framework shaped by Articles 14, 19(1)(g), and 21 of the Constitution, and emerging data governance legislation including the Digital Personal Data Protection Act 2023 and the Bharatiya Sakshya Adhiniyam 2023.</w:t>
      </w:r>
    </w:p>
    <w:p>
      <w:pPr>
        <w:spacing w:after="120" w:before="0"/>
        <w:jc w:val="left"/>
      </w:pPr>
      <w:r>
        <w:rPr>
          <w:rFonts w:ascii="Times New Roman" w:hAnsi="Times New Roman"/>
          <w:b/>
          <w:sz w:val="24"/>
        </w:rPr>
        <w:t>1.2 Problem Statement</w:t>
      </w:r>
    </w:p>
    <w:p>
      <w:pPr>
        <w:spacing w:after="120" w:before="0"/>
        <w:jc w:val="both"/>
      </w:pPr>
      <w:r>
        <w:rPr>
          <w:rFonts w:ascii="Times New Roman" w:hAnsi="Times New Roman"/>
          <w:b w:val="0"/>
          <w:sz w:val="24"/>
        </w:rPr>
        <w:t>While both the United States and India have embraced machine learning as a regulatory enforcement tool, neither jurisdiction has established a comprehensive legal framework governing the deployment, validation, and accountability of ML systems in securities enforcement. This regulatory lacuna gives rise to critical questions concerning algorithmic transparency, due process protections for enforcement targets, cross-border regulatory coordination, and the institutional capacity of securities regulators to oversee increasingly autonomous technological systems.</w:t>
      </w:r>
    </w:p>
    <w:p>
      <w:pPr>
        <w:spacing w:after="120" w:before="0"/>
        <w:jc w:val="both"/>
      </w:pPr>
      <w:r>
        <w:rPr>
          <w:rFonts w:ascii="Times New Roman" w:hAnsi="Times New Roman"/>
          <w:b w:val="0"/>
          <w:sz w:val="24"/>
        </w:rPr>
        <w:t>The opacity inherent in ML decision-making—particularly in ensemble methods and deep learning architectures—creates a fundamental tension with established principles of administrative law requiring reasoned decision-making and procedural fairness. When an enforcement action is initiated on the basis of algorithmic output, the affected party’s ability to mount a meaningful defence is contingent upon the explainability of the underlying model, the integrity of the training data, and the availability of mechanisms for independent verification. These challenges are compounded in cross-jurisdictional contexts, where divergent evidentiary standards, data protection regimes, and constitutional protections may impede effective cooperation.</w:t>
      </w:r>
    </w:p>
    <w:p>
      <w:pPr>
        <w:spacing w:after="160" w:before="0"/>
        <w:jc w:val="both"/>
      </w:pPr>
      <w:r>
        <w:rPr>
          <w:rFonts w:ascii="Times New Roman" w:hAnsi="Times New Roman"/>
          <w:b w:val="0"/>
          <w:sz w:val="24"/>
        </w:rPr>
        <w:t>This dissertation addresses this gap by conducting a systematic comparative analysis of the ML-driven enforcement frameworks in the United States and India, evaluating their respective strengths and deficiencies, and proposing a model regulatory framework that reconciles technological advancement with the imperatives of due process, transparency, and accountability.</w:t>
      </w:r>
    </w:p>
    <w:p>
      <w:pPr>
        <w:spacing w:after="120" w:before="0"/>
        <w:jc w:val="left"/>
      </w:pPr>
      <w:r>
        <w:rPr>
          <w:rFonts w:ascii="Times New Roman" w:hAnsi="Times New Roman"/>
          <w:b/>
          <w:sz w:val="24"/>
        </w:rPr>
        <w:t>1.3 Literature Review</w:t>
      </w:r>
    </w:p>
    <w:p>
      <w:pPr>
        <w:spacing w:after="120" w:before="0"/>
        <w:jc w:val="both"/>
      </w:pPr>
      <w:r>
        <w:rPr>
          <w:rFonts w:ascii="Times New Roman" w:hAnsi="Times New Roman"/>
          <w:b w:val="0"/>
          <w:sz w:val="24"/>
        </w:rPr>
        <w:t>The existing academic literature on ML in securities regulation reveals significant fragmentation, with most scholarship addressing either the technological capabilities of ML systems or the legal implications of algorithmic governance, but rarely integrating both dimensions within a comparative framework.</w:t>
      </w:r>
    </w:p>
    <w:p>
      <w:pPr>
        <w:spacing w:after="120" w:before="0"/>
        <w:jc w:val="both"/>
      </w:pPr>
      <w:r>
        <w:rPr>
          <w:rFonts w:ascii="Times New Roman" w:hAnsi="Times New Roman"/>
          <w:b w:val="0"/>
          <w:sz w:val="24"/>
        </w:rPr>
        <w:t>Yesha Yadav’s work on the SEC’s analytical framework provides foundational insights into how ML systems interact with traditional enforcement methodologies, while Tom C.W. Lin’s scholarship on financial technology and regulatory challenges identifies the structural limitations of existing surveillance architectures. Hilary J. Allen’s analysis of systemic risk in algorithmically mediated markets highlights the macro-prudential dimensions of ML deployment, and Chris Brummer’s research on digital finance governance examines the implications for cross-border regulatory cooperation.</w:t>
      </w:r>
    </w:p>
    <w:p>
      <w:pPr>
        <w:spacing w:after="120" w:before="0"/>
        <w:jc w:val="both"/>
      </w:pPr>
      <w:r>
        <w:rPr>
          <w:rFonts w:ascii="Times New Roman" w:hAnsi="Times New Roman"/>
          <w:b w:val="0"/>
          <w:sz w:val="24"/>
        </w:rPr>
        <w:t>In the Indian context, scholars such as Sandeep Parekh have examined SEBI’s evolving enforcement approach, while institutional research from the National Institute of Securities Markets (NISM) and the Indian Institute of Technology has explored the technical feasibility of AI-driven surveillance. However, no comprehensive comparative study has systematically evaluated the ML-driven enforcement frameworks of both jurisdictions along dimensions of algorithmic transparency, due process compliance, institutional capacity, and cross-border coordination.</w:t>
      </w:r>
    </w:p>
    <w:p>
      <w:pPr>
        <w:spacing w:after="200" w:before="0"/>
        <w:jc w:val="both"/>
      </w:pPr>
      <w:r>
        <w:rPr>
          <w:rFonts w:ascii="Times New Roman" w:hAnsi="Times New Roman"/>
          <w:b w:val="0"/>
          <w:sz w:val="24"/>
        </w:rPr>
        <w:t>International frameworks, including the European Union’s Artificial Intelligence Act 2024 and the IOSCO Guidelines on Market Intermediary Use of AI/ML (2021), provide valuable comparative benchmarks but have not been systematically applied to the US-India regulatory dyad. This dissertation fills this lacuna by offering the first integrated, cross-jurisdictional analysis of ML in securities enforcement across six comparative dimensions.</w:t>
      </w:r>
    </w:p>
    <w:p>
      <w:pPr>
        <w:spacing w:after="160" w:before="240"/>
        <w:jc w:val="left"/>
      </w:pPr>
      <w:r>
        <w:rPr>
          <w:rFonts w:ascii="Times New Roman" w:hAnsi="Times New Roman"/>
          <w:b/>
          <w:sz w:val="26"/>
        </w:rPr>
        <w:t>2. OBJECTIVES AND RATIONALE</w:t>
      </w:r>
    </w:p>
    <w:p>
      <w:pPr>
        <w:spacing w:after="120" w:before="0"/>
        <w:jc w:val="left"/>
      </w:pPr>
      <w:r>
        <w:rPr>
          <w:rFonts w:ascii="Times New Roman" w:hAnsi="Times New Roman"/>
          <w:b/>
          <w:sz w:val="24"/>
        </w:rPr>
        <w:t>2.1 Research Objectives</w:t>
      </w:r>
    </w:p>
    <w:p>
      <w:pPr>
        <w:spacing w:after="80"/>
        <w:ind w:left="720" w:hanging="432"/>
        <w:jc w:val="both"/>
      </w:pPr>
      <w:r>
        <w:rPr>
          <w:rFonts w:ascii="Times New Roman" w:hAnsi="Times New Roman"/>
          <w:b/>
          <w:sz w:val="24"/>
        </w:rPr>
        <w:t xml:space="preserve">1. </w:t>
      </w:r>
      <w:r>
        <w:rPr>
          <w:rFonts w:ascii="Times New Roman" w:hAnsi="Times New Roman"/>
          <w:sz w:val="24"/>
        </w:rPr>
        <w:t>To map and analyse the existing regulatory architectures governing ML deployment in securities enforcement in the United States (SEC, CFTC, FINRA) and India (SEBI), identifying structural convergences, divergences, and lacunae in the respective frameworks.</w:t>
      </w:r>
    </w:p>
    <w:p>
      <w:pPr>
        <w:spacing w:after="80"/>
        <w:ind w:left="720" w:hanging="432"/>
        <w:jc w:val="both"/>
      </w:pPr>
      <w:r>
        <w:rPr>
          <w:rFonts w:ascii="Times New Roman" w:hAnsi="Times New Roman"/>
          <w:b/>
          <w:sz w:val="24"/>
        </w:rPr>
        <w:t xml:space="preserve">2. </w:t>
      </w:r>
      <w:r>
        <w:rPr>
          <w:rFonts w:ascii="Times New Roman" w:hAnsi="Times New Roman"/>
          <w:sz w:val="24"/>
        </w:rPr>
        <w:t>To evaluate the operational capabilities and limitations of specific ML systems deployed by each jurisdiction’s regulators, including supervised classification, anomaly detection, natural language processing, and network analysis, with reference to documented enforcement outcomes.</w:t>
      </w:r>
    </w:p>
    <w:p>
      <w:pPr>
        <w:spacing w:after="80"/>
        <w:ind w:left="720" w:hanging="432"/>
        <w:jc w:val="both"/>
      </w:pPr>
      <w:r>
        <w:rPr>
          <w:rFonts w:ascii="Times New Roman" w:hAnsi="Times New Roman"/>
          <w:b/>
          <w:sz w:val="24"/>
        </w:rPr>
        <w:t xml:space="preserve">3. </w:t>
      </w:r>
      <w:r>
        <w:rPr>
          <w:rFonts w:ascii="Times New Roman" w:hAnsi="Times New Roman"/>
          <w:sz w:val="24"/>
        </w:rPr>
        <w:t>To assess the adequacy of existing due process protections—both constitutional and statutory—in each jurisdiction for persons subject to ML-initiated or ML-supported enforcement actions, with particular reference to algorithmic transparency, the right to explanation, and evidentiary admissibility.</w:t>
      </w:r>
    </w:p>
    <w:p>
      <w:pPr>
        <w:spacing w:after="80"/>
        <w:ind w:left="720" w:hanging="432"/>
        <w:jc w:val="both"/>
      </w:pPr>
      <w:r>
        <w:rPr>
          <w:rFonts w:ascii="Times New Roman" w:hAnsi="Times New Roman"/>
          <w:b/>
          <w:sz w:val="24"/>
        </w:rPr>
        <w:t xml:space="preserve">4. </w:t>
      </w:r>
      <w:r>
        <w:rPr>
          <w:rFonts w:ascii="Times New Roman" w:hAnsi="Times New Roman"/>
          <w:sz w:val="24"/>
        </w:rPr>
        <w:t>To examine the implications of algorithmic bias, data governance deficiencies, and model opacity for the fairness, legitimacy, and constitutional validity of ML-driven enforcement decisions in both jurisdictions.</w:t>
      </w:r>
    </w:p>
    <w:p>
      <w:pPr>
        <w:spacing w:after="80"/>
        <w:ind w:left="720" w:hanging="432"/>
        <w:jc w:val="both"/>
      </w:pPr>
      <w:r>
        <w:rPr>
          <w:rFonts w:ascii="Times New Roman" w:hAnsi="Times New Roman"/>
          <w:b/>
          <w:sz w:val="24"/>
        </w:rPr>
        <w:t xml:space="preserve">5. </w:t>
      </w:r>
      <w:r>
        <w:rPr>
          <w:rFonts w:ascii="Times New Roman" w:hAnsi="Times New Roman"/>
          <w:sz w:val="24"/>
        </w:rPr>
        <w:t>To develop a model regulatory framework for cross-jurisdictional ML governance in securities enforcement, incorporating tiered explainability protocols, mandatory bias auditing requirements, bilateral coordination mechanisms, and specific reform proposals for Indian securities law.</w:t>
      </w:r>
    </w:p>
    <w:p>
      <w:pPr>
        <w:spacing w:after="120" w:before="160"/>
        <w:jc w:val="left"/>
      </w:pPr>
      <w:r>
        <w:rPr>
          <w:rFonts w:ascii="Times New Roman" w:hAnsi="Times New Roman"/>
          <w:b/>
          <w:sz w:val="24"/>
        </w:rPr>
        <w:t>2.2 Research Questions</w:t>
      </w:r>
    </w:p>
    <w:p>
      <w:pPr>
        <w:spacing w:after="80"/>
        <w:ind w:left="720" w:hanging="432"/>
        <w:jc w:val="both"/>
      </w:pPr>
      <w:r>
        <w:rPr>
          <w:rFonts w:ascii="Times New Roman" w:hAnsi="Times New Roman"/>
          <w:b/>
          <w:sz w:val="24"/>
        </w:rPr>
        <w:t xml:space="preserve">1. </w:t>
      </w:r>
      <w:r>
        <w:rPr>
          <w:rFonts w:ascii="Times New Roman" w:hAnsi="Times New Roman"/>
          <w:sz w:val="24"/>
        </w:rPr>
        <w:t>How do the regulatory architectures of the United States and India differ in their legal authorisation, institutional design, and governance frameworks for the deployment of ML in securities enforcement?</w:t>
      </w:r>
    </w:p>
    <w:p>
      <w:pPr>
        <w:spacing w:after="80"/>
        <w:ind w:left="720" w:hanging="432"/>
        <w:jc w:val="both"/>
      </w:pPr>
      <w:r>
        <w:rPr>
          <w:rFonts w:ascii="Times New Roman" w:hAnsi="Times New Roman"/>
          <w:b/>
          <w:sz w:val="24"/>
        </w:rPr>
        <w:t xml:space="preserve">2. </w:t>
      </w:r>
      <w:r>
        <w:rPr>
          <w:rFonts w:ascii="Times New Roman" w:hAnsi="Times New Roman"/>
          <w:sz w:val="24"/>
        </w:rPr>
        <w:t>What specific ML techniques are deployed by the SEC, CFTC, FINRA, and SEBI, and what are their documented capabilities and limitations in detecting market manipulation, insider trading, and systemic fraud?</w:t>
      </w:r>
    </w:p>
    <w:p>
      <w:pPr>
        <w:spacing w:after="80"/>
        <w:ind w:left="720" w:hanging="432"/>
        <w:jc w:val="both"/>
      </w:pPr>
      <w:r>
        <w:rPr>
          <w:rFonts w:ascii="Times New Roman" w:hAnsi="Times New Roman"/>
          <w:b/>
          <w:sz w:val="24"/>
        </w:rPr>
        <w:t xml:space="preserve">3. </w:t>
      </w:r>
      <w:r>
        <w:rPr>
          <w:rFonts w:ascii="Times New Roman" w:hAnsi="Times New Roman"/>
          <w:sz w:val="24"/>
        </w:rPr>
        <w:t>To what extent do existing due process protections in each jurisdiction adequately safeguard the rights of persons subject to ML-driven enforcement actions, particularly regarding algorithmic transparency, the right to challenge automated decisions, and the evidentiary admissibility of ML outputs?</w:t>
      </w:r>
    </w:p>
    <w:p>
      <w:pPr>
        <w:spacing w:after="80"/>
        <w:ind w:left="720" w:hanging="432"/>
        <w:jc w:val="both"/>
      </w:pPr>
      <w:r>
        <w:rPr>
          <w:rFonts w:ascii="Times New Roman" w:hAnsi="Times New Roman"/>
          <w:b/>
          <w:sz w:val="24"/>
        </w:rPr>
        <w:t xml:space="preserve">4. </w:t>
      </w:r>
      <w:r>
        <w:rPr>
          <w:rFonts w:ascii="Times New Roman" w:hAnsi="Times New Roman"/>
          <w:sz w:val="24"/>
        </w:rPr>
        <w:t>What risks do algorithmic bias, data governance deficiencies, and model opacity pose to the fairness and constitutional validity of ML-driven enforcement in each jurisdiction?</w:t>
      </w:r>
    </w:p>
    <w:p>
      <w:pPr>
        <w:spacing w:after="80"/>
        <w:ind w:left="720" w:hanging="432"/>
        <w:jc w:val="both"/>
      </w:pPr>
      <w:r>
        <w:rPr>
          <w:rFonts w:ascii="Times New Roman" w:hAnsi="Times New Roman"/>
          <w:b/>
          <w:sz w:val="24"/>
        </w:rPr>
        <w:t xml:space="preserve">5. </w:t>
      </w:r>
      <w:r>
        <w:rPr>
          <w:rFonts w:ascii="Times New Roman" w:hAnsi="Times New Roman"/>
          <w:sz w:val="24"/>
        </w:rPr>
        <w:t>What elements should a model regulatory framework incorporate to enable effective cross-jurisdictional ML governance while preserving due process, transparency, and accountability?</w:t>
      </w:r>
    </w:p>
    <w:p>
      <w:pPr>
        <w:spacing w:after="120" w:before="160"/>
        <w:jc w:val="left"/>
      </w:pPr>
      <w:r>
        <w:rPr>
          <w:rFonts w:ascii="Times New Roman" w:hAnsi="Times New Roman"/>
          <w:b/>
          <w:sz w:val="24"/>
        </w:rPr>
        <w:t>2.3 Hypothesis</w:t>
      </w:r>
    </w:p>
    <w:p>
      <w:pPr>
        <w:spacing w:after="160" w:before="0"/>
        <w:jc w:val="both"/>
      </w:pPr>
      <w:r>
        <w:rPr>
          <w:rFonts w:ascii="Times New Roman" w:hAnsi="Times New Roman"/>
          <w:b w:val="0"/>
          <w:sz w:val="24"/>
        </w:rPr>
        <w:t>Neither the United States nor India has established a legal framework adequate to govern the deployment of machine learning in securities enforcement in a manner that simultaneously ensures enforcement effectiveness, procedural fairness, algorithmic transparency, and cross-jurisdictional coordination. A comprehensive model framework—drawing on comparative best practices and incorporating tiered explainability protocols, mandatory bias auditing, and bilateral ML coordination mechanisms—is both necessary and feasible to address the identified regulatory deficiencies.</w:t>
      </w:r>
    </w:p>
    <w:p>
      <w:pPr>
        <w:spacing w:after="120" w:before="160"/>
        <w:jc w:val="left"/>
      </w:pPr>
      <w:r>
        <w:rPr>
          <w:rFonts w:ascii="Times New Roman" w:hAnsi="Times New Roman"/>
          <w:b/>
          <w:sz w:val="24"/>
        </w:rPr>
        <w:t>2.4 Rationale and Significance</w:t>
      </w:r>
    </w:p>
    <w:p>
      <w:pPr>
        <w:spacing w:after="120" w:before="0"/>
        <w:jc w:val="both"/>
      </w:pPr>
      <w:r>
        <w:rPr>
          <w:rFonts w:ascii="Times New Roman" w:hAnsi="Times New Roman"/>
          <w:b w:val="0"/>
          <w:sz w:val="24"/>
        </w:rPr>
        <w:t>This research is significant for several reasons. First, the increasing reliance on ML technologies by securities regulators worldwide raises fundamental questions about the intersection of artificial intelligence and administrative law that have not been adequately addressed in existing scholarship. Second, the US-India comparison is particularly instructive because the two jurisdictions represent contrasting regulatory models—the multi-regulator approach of the United States versus the consolidated authority of SEBI—operating within distinct constitutional traditions but facing analogous technological challenges. Third, the absence of an ML-specific governance framework in either jurisdiction creates operational risks, due process vulnerabilities, and barriers to cross-border enforcement cooperation that this research seeks to address through a concrete, implementable model framework.</w:t>
      </w:r>
    </w:p>
    <w:p>
      <w:pPr>
        <w:spacing w:after="200" w:before="0"/>
        <w:jc w:val="both"/>
      </w:pPr>
      <w:r>
        <w:rPr>
          <w:rFonts w:ascii="Times New Roman" w:hAnsi="Times New Roman"/>
          <w:b w:val="0"/>
          <w:sz w:val="24"/>
        </w:rPr>
        <w:t>The research further contributes to the emerging field of computational law and regulatory technology (RegTech) scholarship by providing an empirical and doctrinal foundation for the development of AI governance standards in financial regulation. The proposed reforms, including a specific amendment to Section 11 of the SEBI Act 1992 (proposed Section 11G) and a bilateral ML Coordination Agreement, offer concrete pathways for legislative and institutional action.</w:t>
      </w:r>
    </w:p>
    <w:p>
      <w:pPr>
        <w:spacing w:after="160" w:before="240"/>
        <w:jc w:val="left"/>
      </w:pPr>
      <w:r>
        <w:rPr>
          <w:rFonts w:ascii="Times New Roman" w:hAnsi="Times New Roman"/>
          <w:b/>
          <w:sz w:val="26"/>
        </w:rPr>
        <w:t>3. PROPOSED PLAN OF WORK</w:t>
      </w:r>
    </w:p>
    <w:p>
      <w:pPr>
        <w:spacing w:after="120" w:before="0"/>
        <w:jc w:val="left"/>
      </w:pPr>
      <w:r>
        <w:rPr>
          <w:rFonts w:ascii="Times New Roman" w:hAnsi="Times New Roman"/>
          <w:b/>
          <w:sz w:val="24"/>
        </w:rPr>
        <w:t>3.1 Research Methodology</w:t>
      </w:r>
    </w:p>
    <w:p>
      <w:pPr>
        <w:spacing w:after="120" w:before="0"/>
        <w:jc w:val="both"/>
      </w:pPr>
      <w:r>
        <w:rPr>
          <w:rFonts w:ascii="Times New Roman" w:hAnsi="Times New Roman"/>
          <w:b w:val="0"/>
          <w:sz w:val="24"/>
        </w:rPr>
        <w:t>This dissertation adopts a doctrinal and comparative legal research methodology, supplemented by interdisciplinary analysis drawing on computer science, regulatory theory, and administrative law scholarship.</w:t>
      </w:r>
    </w:p>
    <w:p>
      <w:pPr>
        <w:spacing w:after="120" w:before="0"/>
        <w:jc w:val="both"/>
      </w:pPr>
      <w:r>
        <w:rPr>
          <w:rFonts w:ascii="Times New Roman" w:hAnsi="Times New Roman"/>
          <w:b/>
          <w:i w:val="0"/>
          <w:sz w:val="24"/>
        </w:rPr>
        <w:t xml:space="preserve">Doctrinal Analysis: </w:t>
      </w:r>
      <w:r>
        <w:rPr>
          <w:rFonts w:ascii="Times New Roman" w:hAnsi="Times New Roman"/>
          <w:b w:val="0"/>
          <w:i w:val="0"/>
          <w:sz w:val="24"/>
        </w:rPr>
        <w:t>Primary legal sources—including statutes (Securities Exchange Act 1934, SEBI Act 1992, APA, Bharatiya Sakshya Adhiniyam 2023, DPDP Act 2023), judicial decisions, regulatory orders, and administrative guidance—are systematically analysed to identify the existing legal framework governing ML deployment in securities enforcement in each jurisdiction.</w:t>
      </w:r>
    </w:p>
    <w:p>
      <w:pPr>
        <w:spacing w:after="120" w:before="0"/>
        <w:jc w:val="both"/>
      </w:pPr>
      <w:r>
        <w:rPr>
          <w:rFonts w:ascii="Times New Roman" w:hAnsi="Times New Roman"/>
          <w:b/>
          <w:i w:val="0"/>
          <w:sz w:val="24"/>
        </w:rPr>
        <w:t xml:space="preserve">Comparative Analysis: </w:t>
      </w:r>
      <w:r>
        <w:rPr>
          <w:rFonts w:ascii="Times New Roman" w:hAnsi="Times New Roman"/>
          <w:b w:val="0"/>
          <w:i w:val="0"/>
          <w:sz w:val="24"/>
        </w:rPr>
        <w:t>The research employs the Zweigert-Kötz functional method of comparative law, examining how each jurisdiction addresses functionally equivalent regulatory challenges through different institutional and legal mechanisms. The comparison is structured across six dimensions: (i) regulatory architecture, (ii) ML operational deployment, (iii) due process protections, (iv) algorithmic bias governance, (v) data protection frameworks, and (vi) cross-border coordination mechanisms.</w:t>
      </w:r>
    </w:p>
    <w:p>
      <w:pPr>
        <w:spacing w:after="120" w:before="0"/>
        <w:jc w:val="both"/>
      </w:pPr>
      <w:r>
        <w:rPr>
          <w:rFonts w:ascii="Times New Roman" w:hAnsi="Times New Roman"/>
          <w:b/>
          <w:i w:val="0"/>
          <w:sz w:val="24"/>
        </w:rPr>
        <w:t xml:space="preserve">Case Study Analysis: </w:t>
      </w:r>
      <w:r>
        <w:rPr>
          <w:rFonts w:ascii="Times New Roman" w:hAnsi="Times New Roman"/>
          <w:b w:val="0"/>
          <w:i w:val="0"/>
          <w:sz w:val="24"/>
        </w:rPr>
        <w:t>Key enforcement actions and judicial decisions from both jurisdictions—including the NSE co-location scandal, the IL&amp;FS corporate governance failure, SEC v. Raj Rajaratnam, US v. Sarao, and the Saradha chit fund fraud—are examined as illustrative applications of ML-driven enforcement and its limitations.</w:t>
      </w:r>
    </w:p>
    <w:p>
      <w:pPr>
        <w:spacing w:after="200" w:before="0"/>
        <w:jc w:val="both"/>
      </w:pPr>
      <w:r>
        <w:rPr>
          <w:rFonts w:ascii="Times New Roman" w:hAnsi="Times New Roman"/>
          <w:b/>
          <w:i w:val="0"/>
          <w:sz w:val="24"/>
        </w:rPr>
        <w:t xml:space="preserve">International Benchmarking: </w:t>
      </w:r>
      <w:r>
        <w:rPr>
          <w:rFonts w:ascii="Times New Roman" w:hAnsi="Times New Roman"/>
          <w:b w:val="0"/>
          <w:i w:val="0"/>
          <w:sz w:val="24"/>
        </w:rPr>
        <w:t>The EU Artificial Intelligence Act 2024 and IOSCO AI/ML Guidelines 2021 serve as external reference points for evaluating the adequacy of US and Indian approaches and informing the proposed model framework.</w:t>
      </w:r>
    </w:p>
    <w:p>
      <w:pPr>
        <w:spacing w:after="120" w:before="0"/>
        <w:jc w:val="left"/>
      </w:pPr>
      <w:r>
        <w:rPr>
          <w:rFonts w:ascii="Times New Roman" w:hAnsi="Times New Roman"/>
          <w:b/>
          <w:sz w:val="24"/>
        </w:rPr>
        <w:t>3.2 Proposed Chapterisation</w:t>
      </w:r>
    </w:p>
    <w:p>
      <w:pPr>
        <w:spacing w:after="120"/>
        <w:ind w:left="432"/>
        <w:jc w:val="both"/>
      </w:pPr>
      <w:r>
        <w:rPr>
          <w:rFonts w:ascii="Times New Roman" w:hAnsi="Times New Roman"/>
          <w:b/>
          <w:sz w:val="22"/>
        </w:rPr>
        <w:t xml:space="preserve">Chapter I: Introduction and Literature Review: </w:t>
      </w:r>
      <w:r>
        <w:rPr>
          <w:rFonts w:ascii="Times New Roman" w:hAnsi="Times New Roman"/>
          <w:sz w:val="22"/>
        </w:rPr>
        <w:t>Establishes the research context, articulates the problem statement, reviews existing literature across legal, technological, and regulatory dimensions, and identifies the research gap that motivates the study.</w:t>
      </w:r>
    </w:p>
    <w:p>
      <w:pPr>
        <w:spacing w:after="120"/>
        <w:ind w:left="432"/>
        <w:jc w:val="both"/>
      </w:pPr>
      <w:r>
        <w:rPr>
          <w:rFonts w:ascii="Times New Roman" w:hAnsi="Times New Roman"/>
          <w:b/>
          <w:sz w:val="22"/>
        </w:rPr>
        <w:t xml:space="preserve">Chapter II: Theoretical Framework and Comparative Methodology: </w:t>
      </w:r>
      <w:r>
        <w:rPr>
          <w:rFonts w:ascii="Times New Roman" w:hAnsi="Times New Roman"/>
          <w:sz w:val="22"/>
        </w:rPr>
        <w:t>Develops the analytical framework for the study, drawing on regulatory theory (responsive regulation, risk-based regulation), comparative legal methodology (Zweigert-Kötz functional approach), and AI governance scholarship. Defines the six comparative dimensions.</w:t>
      </w:r>
    </w:p>
    <w:p>
      <w:pPr>
        <w:spacing w:after="120"/>
        <w:ind w:left="432"/>
        <w:jc w:val="both"/>
      </w:pPr>
      <w:r>
        <w:rPr>
          <w:rFonts w:ascii="Times New Roman" w:hAnsi="Times New Roman"/>
          <w:b/>
          <w:sz w:val="22"/>
        </w:rPr>
        <w:t xml:space="preserve">Chapter III: Regulatory Architecture of the United States Securities Enforcement: </w:t>
      </w:r>
      <w:r>
        <w:rPr>
          <w:rFonts w:ascii="Times New Roman" w:hAnsi="Times New Roman"/>
          <w:sz w:val="22"/>
        </w:rPr>
        <w:t>Analyses the multi-regulator structure of US securities enforcement (SEC, CFTC, FINRA), including statutory authority, jurisdictional boundaries, inter-agency coordination, and the legal foundation for technology adoption in enforcement.</w:t>
      </w:r>
    </w:p>
    <w:p>
      <w:pPr>
        <w:spacing w:after="120"/>
        <w:ind w:left="432"/>
        <w:jc w:val="both"/>
      </w:pPr>
      <w:r>
        <w:rPr>
          <w:rFonts w:ascii="Times New Roman" w:hAnsi="Times New Roman"/>
          <w:b/>
          <w:sz w:val="22"/>
        </w:rPr>
        <w:t xml:space="preserve">Chapter IV: Machine Learning in United States Securities Enforcement: </w:t>
      </w:r>
      <w:r>
        <w:rPr>
          <w:rFonts w:ascii="Times New Roman" w:hAnsi="Times New Roman"/>
          <w:sz w:val="22"/>
        </w:rPr>
        <w:t>Examines specific ML systems deployed by US regulators: DERA’s AQM/RoboCop (supervised learning), FINRA’s cross-market surveillance (NLP, network analysis), CFTC’s spoofing detection, and SEC’s EDGAR analytics. Evaluates documented enforcement outcomes.</w:t>
      </w:r>
    </w:p>
    <w:p>
      <w:pPr>
        <w:spacing w:after="120"/>
        <w:ind w:left="432"/>
        <w:jc w:val="both"/>
      </w:pPr>
      <w:r>
        <w:rPr>
          <w:rFonts w:ascii="Times New Roman" w:hAnsi="Times New Roman"/>
          <w:b/>
          <w:sz w:val="22"/>
        </w:rPr>
        <w:t xml:space="preserve">Chapter V: Machine Learning in Indian Securities Enforcement: </w:t>
      </w:r>
      <w:r>
        <w:rPr>
          <w:rFonts w:ascii="Times New Roman" w:hAnsi="Times New Roman"/>
          <w:sz w:val="22"/>
        </w:rPr>
        <w:t>Analyses SEBI’s ML-driven surveillance ecosystem: the Integrated Market Surveillance System (IMSS), Data Warehousing and Business Intelligence System (DWBIS), Structured Digital Database requirements, and real-time alert parameters. Examines key enforcement cases.</w:t>
      </w:r>
    </w:p>
    <w:p>
      <w:pPr>
        <w:spacing w:after="120"/>
        <w:ind w:left="432"/>
        <w:jc w:val="both"/>
      </w:pPr>
      <w:r>
        <w:rPr>
          <w:rFonts w:ascii="Times New Roman" w:hAnsi="Times New Roman"/>
          <w:b/>
          <w:sz w:val="22"/>
        </w:rPr>
        <w:t xml:space="preserve">Chapter VI: Algorithmic Bias in Securities Enforcement: </w:t>
      </w:r>
      <w:r>
        <w:rPr>
          <w:rFonts w:ascii="Times New Roman" w:hAnsi="Times New Roman"/>
          <w:sz w:val="22"/>
        </w:rPr>
        <w:t>Evaluates sources of bias in ML systems deployed by securities regulators, including training data bias, proxy discrimination, temporal drift, and sector-specific disparate impact. Proposes a multi-factor bias assessment framework for regulatory ML.</w:t>
      </w:r>
    </w:p>
    <w:p>
      <w:pPr>
        <w:spacing w:after="120"/>
        <w:ind w:left="432"/>
        <w:jc w:val="both"/>
      </w:pPr>
      <w:r>
        <w:rPr>
          <w:rFonts w:ascii="Times New Roman" w:hAnsi="Times New Roman"/>
          <w:b/>
          <w:sz w:val="22"/>
        </w:rPr>
        <w:t xml:space="preserve">Chapter VII: Indian Constitutional and Data Governance Framework: </w:t>
      </w:r>
      <w:r>
        <w:rPr>
          <w:rFonts w:ascii="Times New Roman" w:hAnsi="Times New Roman"/>
          <w:sz w:val="22"/>
        </w:rPr>
        <w:t>Analyses the constitutional dimensions of ML-driven enforcement under Articles 14, 19(1)(g), and 21, the implications of the DPDP Act 2023, and the evidentiary framework under the Bharatiya Sakshya Adhiniyam 2023 for ML-generated evidence.</w:t>
      </w:r>
    </w:p>
    <w:p>
      <w:pPr>
        <w:spacing w:after="120"/>
        <w:ind w:left="432"/>
        <w:jc w:val="both"/>
      </w:pPr>
      <w:r>
        <w:rPr>
          <w:rFonts w:ascii="Times New Roman" w:hAnsi="Times New Roman"/>
          <w:b/>
          <w:sz w:val="22"/>
        </w:rPr>
        <w:t xml:space="preserve">Chapter VIII: Comparative Analysis: </w:t>
      </w:r>
      <w:r>
        <w:rPr>
          <w:rFonts w:ascii="Times New Roman" w:hAnsi="Times New Roman"/>
          <w:sz w:val="22"/>
        </w:rPr>
        <w:t>Conducts the systematic comparison across six dimensions: regulatory architecture, ML operational deployment, due process compliance, algorithmic bias governance, data protection, and cross-border coordination. Identifies convergences, divergences, and best practices.</w:t>
      </w:r>
    </w:p>
    <w:p>
      <w:pPr>
        <w:spacing w:after="120"/>
        <w:ind w:left="432"/>
        <w:jc w:val="both"/>
      </w:pPr>
      <w:r>
        <w:rPr>
          <w:rFonts w:ascii="Times New Roman" w:hAnsi="Times New Roman"/>
          <w:b/>
          <w:sz w:val="22"/>
        </w:rPr>
        <w:t xml:space="preserve">Chapter IX: Conclusion, Model Regulatory Framework, and Policy Recommendations: </w:t>
      </w:r>
      <w:r>
        <w:rPr>
          <w:rFonts w:ascii="Times New Roman" w:hAnsi="Times New Roman"/>
          <w:sz w:val="22"/>
        </w:rPr>
        <w:t>Synthesises findings and presents the proposed model framework, including: a tiered explainability protocol inspired by the EU AI Act, a bilateral US-India ML Coordination Agreement, mandatory bias auditing standards, and five India-specific legislative reforms including a proposed Section 11G amendment to the SEBI Act 1992.</w:t>
      </w:r>
    </w:p>
    <w:p/>
    <w:p>
      <w:pPr>
        <w:spacing w:after="160" w:before="240"/>
        <w:jc w:val="left"/>
      </w:pPr>
      <w:r>
        <w:rPr>
          <w:rFonts w:ascii="Times New Roman" w:hAnsi="Times New Roman"/>
          <w:b/>
          <w:sz w:val="26"/>
        </w:rPr>
        <w:t>4. REFERENCES (SELECT BIBLIOGRAPHY)</w:t>
      </w:r>
    </w:p>
    <w:p>
      <w:pPr>
        <w:spacing w:after="80" w:before="0"/>
        <w:jc w:val="left"/>
      </w:pPr>
      <w:r>
        <w:rPr>
          <w:rFonts w:ascii="Times New Roman" w:hAnsi="Times New Roman"/>
          <w:b/>
          <w:sz w:val="22"/>
          <w:u w:val="single"/>
        </w:rPr>
        <w:t>Primary Sources</w:t>
      </w:r>
    </w:p>
    <w:p>
      <w:pPr>
        <w:spacing w:after="40"/>
        <w:ind w:left="720" w:hanging="432"/>
        <w:jc w:val="both"/>
      </w:pPr>
      <w:r>
        <w:rPr>
          <w:rFonts w:ascii="Times New Roman" w:hAnsi="Times New Roman"/>
          <w:sz w:val="20"/>
        </w:rPr>
        <w:t>•  Securities Exchange Act of 1934, 15 U.S.C. § 78a et seq.</w:t>
      </w:r>
    </w:p>
    <w:p>
      <w:pPr>
        <w:spacing w:after="40"/>
        <w:ind w:left="720" w:hanging="432"/>
        <w:jc w:val="both"/>
      </w:pPr>
      <w:r>
        <w:rPr>
          <w:rFonts w:ascii="Times New Roman" w:hAnsi="Times New Roman"/>
          <w:sz w:val="20"/>
        </w:rPr>
        <w:t>•  Securities and Exchange Board of India Act, 1992 (Act No. 15 of 1992).</w:t>
      </w:r>
    </w:p>
    <w:p>
      <w:pPr>
        <w:spacing w:after="40"/>
        <w:ind w:left="720" w:hanging="432"/>
        <w:jc w:val="both"/>
      </w:pPr>
      <w:r>
        <w:rPr>
          <w:rFonts w:ascii="Times New Roman" w:hAnsi="Times New Roman"/>
          <w:sz w:val="20"/>
        </w:rPr>
        <w:t>•  Administrative Procedure Act, 5 U.S.C. § 551 et seq.</w:t>
      </w:r>
    </w:p>
    <w:p>
      <w:pPr>
        <w:spacing w:after="40"/>
        <w:ind w:left="720" w:hanging="432"/>
        <w:jc w:val="both"/>
      </w:pPr>
      <w:r>
        <w:rPr>
          <w:rFonts w:ascii="Times New Roman" w:hAnsi="Times New Roman"/>
          <w:sz w:val="20"/>
        </w:rPr>
        <w:t>•  Digital Personal Data Protection Act, 2023 (Act No. 22 of 2023).</w:t>
      </w:r>
    </w:p>
    <w:p>
      <w:pPr>
        <w:spacing w:after="40"/>
        <w:ind w:left="720" w:hanging="432"/>
        <w:jc w:val="both"/>
      </w:pPr>
      <w:r>
        <w:rPr>
          <w:rFonts w:ascii="Times New Roman" w:hAnsi="Times New Roman"/>
          <w:sz w:val="20"/>
        </w:rPr>
        <w:t>•  Bharatiya Sakshya Adhiniyam, 2023 (Act No. 47 of 2023).</w:t>
      </w:r>
    </w:p>
    <w:p>
      <w:pPr>
        <w:spacing w:after="40"/>
        <w:ind w:left="720" w:hanging="432"/>
        <w:jc w:val="both"/>
      </w:pPr>
      <w:r>
        <w:rPr>
          <w:rFonts w:ascii="Times New Roman" w:hAnsi="Times New Roman"/>
          <w:sz w:val="20"/>
        </w:rPr>
        <w:t>•  Regulation (EU) 2024/1689 (Artificial Intelligence Act).</w:t>
      </w:r>
    </w:p>
    <w:p>
      <w:pPr>
        <w:spacing w:after="40"/>
        <w:ind w:left="720" w:hanging="432"/>
        <w:jc w:val="both"/>
      </w:pPr>
      <w:r>
        <w:rPr>
          <w:rFonts w:ascii="Times New Roman" w:hAnsi="Times New Roman"/>
          <w:sz w:val="20"/>
        </w:rPr>
        <w:t>•  SEBI (Prohibition of Insider Trading) Regulations, 2015.</w:t>
      </w:r>
    </w:p>
    <w:p>
      <w:pPr>
        <w:spacing w:after="40"/>
        <w:ind w:left="720" w:hanging="432"/>
        <w:jc w:val="both"/>
      </w:pPr>
      <w:r>
        <w:rPr>
          <w:rFonts w:ascii="Times New Roman" w:hAnsi="Times New Roman"/>
          <w:sz w:val="20"/>
        </w:rPr>
        <w:t>•  SEBI (Prohibition of Fraudulent and Unfair Trade Practices) Regulations, 2003.</w:t>
      </w:r>
    </w:p>
    <w:p>
      <w:pPr>
        <w:spacing w:after="40"/>
        <w:ind w:left="720" w:hanging="432"/>
        <w:jc w:val="both"/>
      </w:pPr>
      <w:r>
        <w:rPr>
          <w:rFonts w:ascii="Times New Roman" w:hAnsi="Times New Roman"/>
          <w:sz w:val="20"/>
        </w:rPr>
        <w:t>•  SEC v. Jarkesy, 603 U.S. ___ (2024).</w:t>
      </w:r>
    </w:p>
    <w:p>
      <w:pPr>
        <w:spacing w:after="40"/>
        <w:ind w:left="720" w:hanging="432"/>
        <w:jc w:val="both"/>
      </w:pPr>
      <w:r>
        <w:rPr>
          <w:rFonts w:ascii="Times New Roman" w:hAnsi="Times New Roman"/>
          <w:sz w:val="20"/>
        </w:rPr>
        <w:t>•  SEC v. Raj Rajaratnam, No. 09 Civ. 8811 (S.D.N.Y. 2011).</w:t>
      </w:r>
    </w:p>
    <w:p>
      <w:pPr>
        <w:spacing w:after="40"/>
        <w:ind w:left="720" w:hanging="432"/>
        <w:jc w:val="both"/>
      </w:pPr>
      <w:r>
        <w:rPr>
          <w:rFonts w:ascii="Times New Roman" w:hAnsi="Times New Roman"/>
          <w:sz w:val="20"/>
        </w:rPr>
        <w:t>•  United States v. Sarao, No. 15 CR 75 (N.D. Ill. 2016).</w:t>
      </w:r>
    </w:p>
    <w:p>
      <w:pPr>
        <w:spacing w:after="40"/>
        <w:ind w:left="720" w:hanging="432"/>
        <w:jc w:val="both"/>
      </w:pPr>
      <w:r>
        <w:rPr>
          <w:rFonts w:ascii="Times New Roman" w:hAnsi="Times New Roman"/>
          <w:sz w:val="20"/>
        </w:rPr>
        <w:t>•  SEBI v. Kishore R. Ajmera, (2016) 6 SCC 368.</w:t>
      </w:r>
    </w:p>
    <w:p>
      <w:pPr>
        <w:spacing w:after="40"/>
        <w:ind w:left="720" w:hanging="432"/>
        <w:jc w:val="both"/>
      </w:pPr>
      <w:r>
        <w:rPr>
          <w:rFonts w:ascii="Times New Roman" w:hAnsi="Times New Roman"/>
          <w:sz w:val="20"/>
        </w:rPr>
        <w:t>•  Puttaswamy v. Union of India, (2017) 10 SCC 1.</w:t>
      </w:r>
    </w:p>
    <w:p>
      <w:pPr>
        <w:spacing w:after="80" w:before="160"/>
        <w:jc w:val="left"/>
      </w:pPr>
      <w:r>
        <w:rPr>
          <w:rFonts w:ascii="Times New Roman" w:hAnsi="Times New Roman"/>
          <w:b/>
          <w:sz w:val="22"/>
          <w:u w:val="single"/>
        </w:rPr>
        <w:t>Secondary Sources</w:t>
      </w:r>
    </w:p>
    <w:p>
      <w:pPr>
        <w:spacing w:after="40"/>
        <w:ind w:left="720" w:hanging="432"/>
        <w:jc w:val="both"/>
      </w:pPr>
      <w:r>
        <w:rPr>
          <w:rFonts w:ascii="Times New Roman" w:hAnsi="Times New Roman"/>
          <w:sz w:val="20"/>
        </w:rPr>
        <w:t>•  Allen, Hilary J., ‘Driverless Finance: Fintech’s Impact on Financial Stability’ (Oxford University Press 2022).</w:t>
      </w:r>
    </w:p>
    <w:p>
      <w:pPr>
        <w:spacing w:after="40"/>
        <w:ind w:left="720" w:hanging="432"/>
        <w:jc w:val="both"/>
      </w:pPr>
      <w:r>
        <w:rPr>
          <w:rFonts w:ascii="Times New Roman" w:hAnsi="Times New Roman"/>
          <w:sz w:val="20"/>
        </w:rPr>
        <w:t>•  Brummer, Chris, ‘Fintech Law in a Nutshell’ (West Academic 2020).</w:t>
      </w:r>
    </w:p>
    <w:p>
      <w:pPr>
        <w:spacing w:after="40"/>
        <w:ind w:left="720" w:hanging="432"/>
        <w:jc w:val="both"/>
      </w:pPr>
      <w:r>
        <w:rPr>
          <w:rFonts w:ascii="Times New Roman" w:hAnsi="Times New Roman"/>
          <w:sz w:val="20"/>
        </w:rPr>
        <w:t>•  Lin, Tom C.W., ‘Artificial Intelligence, Finance, and the Law’ (2019) 88 Fordham Law Review 531.</w:t>
      </w:r>
    </w:p>
    <w:p>
      <w:pPr>
        <w:spacing w:after="40"/>
        <w:ind w:left="720" w:hanging="432"/>
        <w:jc w:val="both"/>
      </w:pPr>
      <w:r>
        <w:rPr>
          <w:rFonts w:ascii="Times New Roman" w:hAnsi="Times New Roman"/>
          <w:sz w:val="20"/>
        </w:rPr>
        <w:t>•  Yadav, Yesha, ‘The Failure of Liability in Modern Markets’ (2016) 102 Virginia Law Review 1031.</w:t>
      </w:r>
    </w:p>
    <w:p>
      <w:pPr>
        <w:spacing w:after="40"/>
        <w:ind w:left="720" w:hanging="432"/>
        <w:jc w:val="both"/>
      </w:pPr>
      <w:r>
        <w:rPr>
          <w:rFonts w:ascii="Times New Roman" w:hAnsi="Times New Roman"/>
          <w:sz w:val="20"/>
        </w:rPr>
        <w:t>•  Parekh, Sandeep, ‘Fraud, Manipulation and Insider Trading in the Indian Securities Markets’ (CCH India 2014).</w:t>
      </w:r>
    </w:p>
    <w:p>
      <w:pPr>
        <w:spacing w:after="40"/>
        <w:ind w:left="720" w:hanging="432"/>
        <w:jc w:val="both"/>
      </w:pPr>
      <w:r>
        <w:rPr>
          <w:rFonts w:ascii="Times New Roman" w:hAnsi="Times New Roman"/>
          <w:sz w:val="20"/>
        </w:rPr>
        <w:t>•  Zweigert, Konrad &amp; Kötz, Hein, ‘Introduction to Comparative Law’ (3rd edn, Clarendon Press 1998).</w:t>
      </w:r>
    </w:p>
    <w:p>
      <w:pPr>
        <w:spacing w:after="40"/>
        <w:ind w:left="720" w:hanging="432"/>
        <w:jc w:val="both"/>
      </w:pPr>
      <w:r>
        <w:rPr>
          <w:rFonts w:ascii="Times New Roman" w:hAnsi="Times New Roman"/>
          <w:sz w:val="20"/>
        </w:rPr>
        <w:t>•  IOSCO, ‘The Use of Artificial Intelligence and Machine Learning by Market Intermediaries and Asset Managers’ (2021).</w:t>
      </w:r>
    </w:p>
    <w:p>
      <w:pPr>
        <w:spacing w:after="40"/>
        <w:ind w:left="720" w:hanging="432"/>
        <w:jc w:val="both"/>
      </w:pPr>
      <w:r>
        <w:rPr>
          <w:rFonts w:ascii="Times New Roman" w:hAnsi="Times New Roman"/>
          <w:sz w:val="20"/>
        </w:rPr>
        <w:t>•  SEC Division of Economic and Risk Analysis, ‘Annual Report on the Use of Advanced Analytics’ (2023).</w:t>
      </w:r>
    </w:p>
    <w:p>
      <w:pPr>
        <w:spacing w:after="40"/>
        <w:ind w:left="720" w:hanging="432"/>
        <w:jc w:val="both"/>
      </w:pPr>
      <w:r>
        <w:rPr>
          <w:rFonts w:ascii="Times New Roman" w:hAnsi="Times New Roman"/>
          <w:sz w:val="20"/>
        </w:rPr>
        <w:t>•  SEBI, ‘Annual Report 2022–23’ (Securities and Exchange Board of India 2023).</w:t>
      </w:r>
    </w:p>
    <w:p>
      <w:pPr>
        <w:spacing w:after="40"/>
        <w:ind w:left="720" w:hanging="432"/>
        <w:jc w:val="both"/>
      </w:pPr>
      <w:r>
        <w:rPr>
          <w:rFonts w:ascii="Times New Roman" w:hAnsi="Times New Roman"/>
          <w:sz w:val="20"/>
        </w:rPr>
        <w:t>•  FINRA, ‘Technology Based Innovations for Regulatory Compliance Report’ (2024).</w:t>
      </w:r>
    </w:p>
    <w:p/>
    <w:p/>
    <w:tbl>
      <w:tblPr>
        <w:tblW w:type="auto" w:w="0"/>
        <w:jc w:val="center"/>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2"/>
              </w:rPr>
              <w:t>____________________________</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2"/>
              </w:rPr>
              <w:t>____________________________</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b/>
                <w:sz w:val="22"/>
              </w:rPr>
              <w:t>Chitraksh Mayank</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b/>
                <w:sz w:val="22"/>
              </w:rPr>
              <w:t>Dr. Kush Kalra</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0"/>
              </w:rPr>
              <w:t>(Student)</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rFonts w:ascii="Times New Roman" w:hAnsi="Times New Roman"/>
                <w:sz w:val="20"/>
              </w:rPr>
              <w:t>(Guide)</w:t>
            </w:r>
          </w:p>
        </w:tc>
      </w:tr>
    </w:tbl>
    <w:p/>
    <w:p>
      <w:pPr>
        <w:jc w:val="left"/>
      </w:pPr>
      <w:r>
        <w:rPr>
          <w:rFonts w:ascii="Times New Roman" w:hAnsi="Times New Roman"/>
          <w:sz w:val="22"/>
        </w:rPr>
        <w:t>Date: _______________</w:t>
      </w:r>
    </w:p>
    <w:p>
      <w:pPr>
        <w:jc w:val="left"/>
      </w:pPr>
      <w:r>
        <w:rPr>
          <w:rFonts w:ascii="Times New Roman" w:hAnsi="Times New Roman"/>
          <w:sz w:val="22"/>
        </w:rPr>
        <w:t>Place: Bengaluru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