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615"/>
        <w:gridCol w:w="6030"/>
      </w:tblGrid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</w:t>
            </w:r>
          </w:p>
        </w:tc>
        <w:tc>
          <w:tcPr>
            <w:tcW w:w="6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HANFOUG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Prénom</w:t>
            </w:r>
          </w:p>
        </w:tc>
        <w:tc>
          <w:tcPr>
            <w:tcW w:w="6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FARIS</w:t>
            </w:r>
          </w:p>
        </w:tc>
      </w:tr>
      <w:tr>
        <w:trPr>
          <w:trHeight w:val="77" w:hRule="auto"/>
          <w:jc w:val="left"/>
        </w:trPr>
        <w:tc>
          <w:tcPr>
            <w:tcW w:w="1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Groupe</w:t>
            </w:r>
          </w:p>
        </w:tc>
        <w:tc>
          <w:tcPr>
            <w:tcW w:w="6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  <w:t xml:space="preserve">Travaux Pratiques N° 1 : Protocole HTTP</w:t>
      </w:r>
    </w:p>
    <w:tbl>
      <w:tblPr/>
      <w:tblGrid>
        <w:gridCol w:w="5845"/>
        <w:gridCol w:w="8545"/>
      </w:tblGrid>
      <w:tr>
        <w:trPr>
          <w:trHeight w:val="1" w:hRule="atLeast"/>
          <w:jc w:val="left"/>
        </w:trPr>
        <w:tc>
          <w:tcPr>
            <w:tcW w:w="14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d.</w:t>
              <w:tab/>
              <w:t xml:space="preserve">Répondre aux questions suivantes :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Questions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Réponses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méthode http faisant l’objet de cette requête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requête URI de l’objet demandé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Prévoir le nom du fichier demandé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Hypertext transfer protocol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version du protocole http ?  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HTTP1.1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signification de « keep-alive »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plusieur demandes/réponses en une connexion TCP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 signifie « q=0.9 »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valeur de qualité: utilisé pour définier les préférencese lors  de la demand de plusieur types de MIME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type de donnée le client préfère recevoir le plus dans la réponse http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Les information transmises par HTTP sont les</w:t>
            </w:r>
          </w:p>
          <w:p>
            <w:pPr>
              <w:spacing w:before="0" w:after="0" w:line="240"/>
              <w:ind w:right="-180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souvent  entièrement textuelles .</w:t>
            </w:r>
          </w:p>
          <w:p>
            <w:pPr>
              <w:spacing w:before="0" w:after="0" w:line="240"/>
              <w:ind w:right="-180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Nous pouvons utiliser Nous pouvons utiliser</w:t>
            </w:r>
          </w:p>
          <w:p>
            <w:pPr>
              <w:spacing w:before="0" w:after="0" w:line="240"/>
              <w:ind w:right="-180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le protocole telnet d'internet pour simuler</w:t>
            </w:r>
          </w:p>
          <w:p>
            <w:pPr>
              <w:spacing w:before="0" w:after="0" w:line="240"/>
              <w:ind w:right="-180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la demande du navigateur et voir la réponse du serveur.</w:t>
            </w:r>
          </w:p>
        </w:tc>
      </w:tr>
      <w:tr>
        <w:trPr>
          <w:trHeight w:val="1" w:hRule="atLeast"/>
          <w:jc w:val="left"/>
        </w:trPr>
        <w:tc>
          <w:tcPr>
            <w:tcW w:w="14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f.</w:t>
              <w:tab/>
              <w:t xml:space="preserve">Répondre aux questions suivantes :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Questions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Réponses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 signifie la valeur 200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Numéro a trois chiffres le promierchiffre est classe du code de status: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 et Réussite et erreur de clien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,erreur de serveur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serveur est responsable de fournir la réponse http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téte réponses HTTP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Comment le corps de la réponse http est-il séparé de son en-tête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les en tétet sont séparés par une séquence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CRLF, et les en-tétes sont sépares du corps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par deux de ces séquences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est le type des données renvoyées par le serveur dans le corps de la réponse http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 de code HTML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Combien de lignes de code comporte le document retourné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