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海宇國際股份有限公司 83723755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2025-03-24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臺北市松山區民權東路3段170號4樓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HIYES25CAX001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 xml:space="preserve">謝昇紘 TEL: 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35,000.0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海宇國際股份有限公司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353C08">
              <w:rPr>
                <w:b/>
              </w:rPr>
              <w:t>,000</w:t>
            </w:r>
          </w:p>
        </w:tc>
      </w:tr>
      <w:tr w:rsidR="008B3E55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</w:t>
            </w:r>
            <w:r w:rsidR="00ED2C5C"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87CEF4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92E8C8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6EED06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2BD52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417130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428E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85524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66E9F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29A46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950C2B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1006DB0" w14:textId="5D1047C2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="003574F6" w:rsidRPr="003574F6">
              <w:rPr>
                <w:b/>
                <w:color w:val="B7B7B7"/>
                <w:sz w:val="20"/>
                <w:szCs w:val="20"/>
              </w:rPr>
              <w:t>峻勝文化首勝</w:t>
            </w:r>
            <w:proofErr w:type="spellEnd"/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17</cp:revision>
  <cp:lastPrinted>2024-01-30T06:38:00Z</cp:lastPrinted>
  <dcterms:created xsi:type="dcterms:W3CDTF">2024-07-23T07:36:00Z</dcterms:created>
  <dcterms:modified xsi:type="dcterms:W3CDTF">2024-08-06T06:54:00Z</dcterms:modified>
</cp:coreProperties>
</file>