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EF68E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653FF81D" w14:textId="77777777">
        <w:tc>
          <w:tcPr>
            <w:tcW w:w="7088" w:type="dxa"/>
          </w:tcPr>
          <w:p w14:paraId="5D559261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36DD898D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6BF2B8CB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9A82407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227B0A1E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621E5ADB" w14:textId="77777777" w:rsidR="008B3E55" w:rsidRDefault="008B3E55">
      <w:pPr>
        <w:spacing w:line="80" w:lineRule="auto"/>
      </w:pPr>
    </w:p>
    <w:p w14:paraId="41907A18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1934BC41" w14:textId="77777777">
        <w:trPr>
          <w:trHeight w:val="335"/>
        </w:trPr>
        <w:tc>
          <w:tcPr>
            <w:tcW w:w="8075" w:type="dxa"/>
          </w:tcPr>
          <w:p w14:paraId="5EA8D231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海悅國際開發股份有限公司</w:t>
            </w:r>
            <w:r w:rsidRPr="00DD20B8">
              <w:rPr>
                <w:b/>
                <w:bCs/>
              </w:rPr>
              <w:t xml:space="preserve"> 22624873</w:t>
            </w:r>
          </w:p>
        </w:tc>
        <w:tc>
          <w:tcPr>
            <w:tcW w:w="2681" w:type="dxa"/>
          </w:tcPr>
          <w:p w14:paraId="0D949C16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2025-04-10</w:t>
            </w:r>
          </w:p>
        </w:tc>
      </w:tr>
      <w:tr w:rsidR="008B3E55" w14:paraId="50D8825D" w14:textId="77777777">
        <w:trPr>
          <w:trHeight w:val="365"/>
        </w:trPr>
        <w:tc>
          <w:tcPr>
            <w:tcW w:w="8075" w:type="dxa"/>
          </w:tcPr>
          <w:p w14:paraId="1726CF4D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臺北市松山區敦化北路</w:t>
            </w:r>
            <w:r w:rsidR="00AB7C0C">
              <w:rPr>
                <w:rFonts w:hint="eastAsia"/>
                <w:b/>
                <w:sz w:val="20"/>
                <w:szCs w:val="20"/>
              </w:rPr>
              <w:t>260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7</w:t>
            </w:r>
            <w:r w:rsidR="00AB7C0C">
              <w:rPr>
                <w:rFonts w:hint="eastAsia"/>
                <w:b/>
                <w:sz w:val="20"/>
                <w:szCs w:val="20"/>
              </w:rPr>
              <w:t>樓</w:t>
            </w:r>
          </w:p>
        </w:tc>
        <w:tc>
          <w:tcPr>
            <w:tcW w:w="2681" w:type="dxa"/>
          </w:tcPr>
          <w:p w14:paraId="46EB6D9A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HIYES25DAJ001</w:t>
            </w:r>
          </w:p>
        </w:tc>
      </w:tr>
      <w:tr w:rsidR="008B3E55" w14:paraId="54C96990" w14:textId="77777777">
        <w:trPr>
          <w:trHeight w:val="395"/>
        </w:trPr>
        <w:tc>
          <w:tcPr>
            <w:tcW w:w="8075" w:type="dxa"/>
          </w:tcPr>
          <w:p w14:paraId="1D0E0653" w14:textId="777777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劉芝穎</w:t>
            </w:r>
            <w:r w:rsidR="00AB7C0C">
              <w:rPr>
                <w:rFonts w:hint="eastAsia"/>
                <w:b/>
                <w:sz w:val="20"/>
                <w:szCs w:val="20"/>
              </w:rPr>
              <w:t xml:space="preserve"> TEL: 0986-899-556</w:t>
            </w:r>
          </w:p>
        </w:tc>
        <w:tc>
          <w:tcPr>
            <w:tcW w:w="2681" w:type="dxa"/>
          </w:tcPr>
          <w:p w14:paraId="3E155E24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4DE39506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1F0C2BAF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D8ED9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532038C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62E686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0D692A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169A5CC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3AE5DAE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263BC805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0F4A8E6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35004E9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67D45BF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58D9BDE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3457C56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41729A27" w14:textId="77777777">
        <w:trPr>
          <w:trHeight w:val="454"/>
        </w:trPr>
        <w:tc>
          <w:tcPr>
            <w:tcW w:w="844" w:type="dxa"/>
            <w:vAlign w:val="center"/>
          </w:tcPr>
          <w:p w14:paraId="5E7540F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4ABCD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753C68C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98BF20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78D1EE9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28BBA34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B536C98" w14:textId="77777777">
        <w:trPr>
          <w:trHeight w:val="454"/>
        </w:trPr>
        <w:tc>
          <w:tcPr>
            <w:tcW w:w="844" w:type="dxa"/>
            <w:vAlign w:val="center"/>
          </w:tcPr>
          <w:p w14:paraId="6490A41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1BF39246" w14:textId="77777777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6A3F365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16144FD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447D9B4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37785C3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5CD36E87" w14:textId="77777777">
        <w:trPr>
          <w:trHeight w:val="454"/>
        </w:trPr>
        <w:tc>
          <w:tcPr>
            <w:tcW w:w="844" w:type="dxa"/>
            <w:vAlign w:val="center"/>
          </w:tcPr>
          <w:p w14:paraId="5A79EC7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12727F7C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4D9166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5E07CEA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6C901EF4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000769E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70FE214E" w14:textId="77777777">
        <w:trPr>
          <w:trHeight w:val="454"/>
        </w:trPr>
        <w:tc>
          <w:tcPr>
            <w:tcW w:w="844" w:type="dxa"/>
            <w:vAlign w:val="center"/>
          </w:tcPr>
          <w:p w14:paraId="364416D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D2E3D1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21EA20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2DFA228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700B9A1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08243B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787D9E26" w14:textId="77777777">
        <w:trPr>
          <w:trHeight w:val="454"/>
        </w:trPr>
        <w:tc>
          <w:tcPr>
            <w:tcW w:w="844" w:type="dxa"/>
            <w:vAlign w:val="center"/>
          </w:tcPr>
          <w:p w14:paraId="60509AE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0F529903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6EC4B17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0AD86C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2BD3078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59D5C1E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6E227517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06291E14" w14:textId="77777777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7273ABEC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5A97619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7C87A40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AADDB37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海悅國際開發股份有限公司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7ABFD24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2BF2CD07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1CB05A4A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34848D12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5C24AA41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05A45AB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0D39669E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45793117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AF2EE50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14AD4FC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57D946AD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C52C0AC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55D1BD1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0010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7175B94D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5779CD6D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1DB67083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B0705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0AF343A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6CAA117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5692EF0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DE8F3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CD351E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1FA6FF9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FA687D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2B6EC0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E8A5C2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CFD3A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9C0CCC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47C9E2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BCCDA7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CE526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E0E42B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42241D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43D8D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2E3DD1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AA4D15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FFF82E4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384D5CF0" w14:textId="77777777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="003574F6" w:rsidRPr="003574F6">
              <w:rPr>
                <w:b/>
                <w:color w:val="B7B7B7"/>
                <w:sz w:val="20"/>
                <w:szCs w:val="20"/>
              </w:rPr>
              <w:t>寶亞世界公館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3175FBD6" w14:textId="77777777" w:rsidR="008B3E55" w:rsidRDefault="008B3E55"/>
    <w:sectPr w:rsidR="008B3E55" w:rsidSect="00B23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09" w:right="567" w:bottom="816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3CA7C" w14:textId="77777777" w:rsidR="00C7059C" w:rsidRDefault="00C7059C">
      <w:r>
        <w:separator/>
      </w:r>
    </w:p>
  </w:endnote>
  <w:endnote w:type="continuationSeparator" w:id="0">
    <w:p w14:paraId="5FBE43D3" w14:textId="77777777" w:rsidR="00C7059C" w:rsidRDefault="00C7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C1E32" w14:textId="77777777" w:rsidR="00B232CE" w:rsidRDefault="00B232C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403D1" w14:textId="77777777" w:rsidR="004B1EF4" w:rsidRDefault="004B1E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A318C" w14:textId="77777777" w:rsidR="00B232CE" w:rsidRDefault="00B232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8662B" w14:textId="77777777" w:rsidR="00C7059C" w:rsidRDefault="00C7059C">
      <w:r>
        <w:separator/>
      </w:r>
    </w:p>
  </w:footnote>
  <w:footnote w:type="continuationSeparator" w:id="0">
    <w:p w14:paraId="28D00004" w14:textId="77777777" w:rsidR="00C7059C" w:rsidRDefault="00C70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922D9" w14:textId="77777777" w:rsidR="00B232CE" w:rsidRDefault="00B232C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5315" w14:textId="77777777" w:rsidR="004B1EF4" w:rsidRDefault="004B1E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DAEC7" w14:textId="77777777" w:rsidR="00B232CE" w:rsidRDefault="00B232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4B1EF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B232CE"/>
    <w:rsid w:val="00C7059C"/>
    <w:rsid w:val="00C758F3"/>
    <w:rsid w:val="00C865F1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C5CDB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2025-04-10T09:53:00Z</dcterms:modified>
</cp:coreProperties>
</file>