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4225" w14:textId="77777777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7694E326" w14:textId="77777777">
        <w:tc>
          <w:tcPr>
            <w:tcW w:w="7088" w:type="dxa"/>
          </w:tcPr>
          <w:p w14:paraId="07683925" w14:textId="77777777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446500A8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71D6FA0E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5F43E0CC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4A13D9BC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48DB318C" w14:textId="77777777" w:rsidR="008B3E55" w:rsidRDefault="008B3E55">
      <w:pPr>
        <w:spacing w:line="80" w:lineRule="auto"/>
      </w:pPr>
    </w:p>
    <w:p w14:paraId="1C08B4BC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58397DF4" w14:textId="77777777">
        <w:trPr>
          <w:trHeight w:val="335"/>
        </w:trPr>
        <w:tc>
          <w:tcPr>
            <w:tcW w:w="8075" w:type="dxa"/>
          </w:tcPr>
          <w:p w14:paraId="10ECCF9A" w14:textId="66FD2B1E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海悅地產開發股份有限公司 24493341</w:t>
            </w:r>
          </w:p>
        </w:tc>
        <w:tc>
          <w:tcPr>
            <w:tcW w:w="2681" w:type="dxa"/>
          </w:tcPr>
          <w:p w14:paraId="67E5068F" w14:textId="54D02FDF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2024-08-05</w:t>
            </w:r>
          </w:p>
        </w:tc>
      </w:tr>
      <w:tr w:rsidR="008B3E55" w14:paraId="684E7EA5" w14:textId="77777777">
        <w:trPr>
          <w:trHeight w:val="365"/>
        </w:trPr>
        <w:tc>
          <w:tcPr>
            <w:tcW w:w="8075" w:type="dxa"/>
          </w:tcPr>
          <w:p w14:paraId="30A1E9F6" w14:textId="131D07FC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proofErr w:type="spellStart"/>
            <w:r w:rsidR="00AB7C0C">
              <w:rPr>
                <w:rFonts w:hint="eastAsia"/>
                <w:b/>
                <w:sz w:val="20"/>
                <w:szCs w:val="20"/>
              </w:rPr>
              <w:t>臺北市松山區復興南路1段49號2樓</w:t>
            </w:r>
            <w:proofErr w:type="spellEnd"/>
          </w:p>
        </w:tc>
        <w:tc>
          <w:tcPr>
            <w:tcW w:w="2681" w:type="dxa"/>
          </w:tcPr>
          <w:p w14:paraId="4E99408F" w14:textId="127BC380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HIYES24HAE001</w:t>
            </w:r>
          </w:p>
        </w:tc>
      </w:tr>
      <w:tr w:rsidR="008B3E55" w14:paraId="0AEB79D0" w14:textId="77777777">
        <w:trPr>
          <w:trHeight w:val="395"/>
        </w:trPr>
        <w:tc>
          <w:tcPr>
            <w:tcW w:w="8075" w:type="dxa"/>
          </w:tcPr>
          <w:p w14:paraId="265D71D6" w14:textId="577C9D71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</w:r>
          </w:p>
        </w:tc>
        <w:tc>
          <w:tcPr>
            <w:tcW w:w="2681" w:type="dxa"/>
          </w:tcPr>
          <w:p w14:paraId="69E4D5D0" w14:textId="379936AB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06ACCD99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34890D7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2E5820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05E0D82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1DD03E5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58F5172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4D85204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07354FF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6BACF757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31E95C1A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07F1CA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77BDA6A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3576C58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2884047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29C081F1" w14:textId="77777777">
        <w:trPr>
          <w:trHeight w:val="454"/>
        </w:trPr>
        <w:tc>
          <w:tcPr>
            <w:tcW w:w="844" w:type="dxa"/>
            <w:vAlign w:val="center"/>
          </w:tcPr>
          <w:p w14:paraId="6599ACD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53883454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2B4C694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2D6EF4A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14AC5ED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33BE61F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454254E4" w14:textId="77777777">
        <w:trPr>
          <w:trHeight w:val="454"/>
        </w:trPr>
        <w:tc>
          <w:tcPr>
            <w:tcW w:w="844" w:type="dxa"/>
            <w:vAlign w:val="center"/>
          </w:tcPr>
          <w:p w14:paraId="5945CC2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65B5A039" w14:textId="03BE235B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03D0A3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761A0B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02E65BF" w14:textId="042F67FB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6F0245F2" w14:textId="08B21F53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7FC2B44C" w14:textId="77777777">
        <w:trPr>
          <w:trHeight w:val="454"/>
        </w:trPr>
        <w:tc>
          <w:tcPr>
            <w:tcW w:w="844" w:type="dxa"/>
            <w:vAlign w:val="center"/>
          </w:tcPr>
          <w:p w14:paraId="1CBF91F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7C4F49C1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08CD64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4A98582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517AE0EE" w14:textId="3932CFC6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7213E19A" w14:textId="54867F4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25FEAEB" w14:textId="77777777">
        <w:trPr>
          <w:trHeight w:val="454"/>
        </w:trPr>
        <w:tc>
          <w:tcPr>
            <w:tcW w:w="844" w:type="dxa"/>
            <w:vAlign w:val="center"/>
          </w:tcPr>
          <w:p w14:paraId="6B8BC26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6BAE519E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197E170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5455DE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213026E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4F5170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34A89969" w14:textId="77777777">
        <w:trPr>
          <w:trHeight w:val="454"/>
        </w:trPr>
        <w:tc>
          <w:tcPr>
            <w:tcW w:w="844" w:type="dxa"/>
            <w:vAlign w:val="center"/>
          </w:tcPr>
          <w:p w14:paraId="34C3F97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D44FCC7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3AA24CE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7F6C7E3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00324D49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24CBAC95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B3E55" w14:paraId="579B8DBE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43122BBC" w14:textId="3E668F02" w:rsidR="008B3E55" w:rsidRDefault="00861CA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</w:t>
            </w:r>
            <w:r w:rsidR="000257E0"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台幣</w:t>
            </w:r>
            <w:r w:rsidR="00AB7C0C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30,000.0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2B2495ED" w14:textId="77777777" w:rsidR="008B3E55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35987BA4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35CC148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713D341F" w14:textId="560CE5DC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proofErr w:type="spellStart"/>
            <w:r w:rsidR="00AB7C0C"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海悅地產開發股份有限公司</w:t>
            </w:r>
            <w:proofErr w:type="spellEnd"/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4056D5D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6F417C66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3E4E394F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9F96709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4FF2AE38" w14:textId="77777777" w:rsidR="008B3E55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2C126E0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5A144B59" w14:textId="7E9A73BA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353C08">
              <w:rPr>
                <w:b/>
              </w:rPr>
              <w:t>,000</w:t>
            </w:r>
          </w:p>
        </w:tc>
      </w:tr>
      <w:tr w:rsidR="008B3E55" w14:paraId="5BCC042B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59987E5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6DFF15C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6DF49A30" w14:textId="005DE700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</w:t>
            </w:r>
            <w:r w:rsidR="00ED2C5C"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7E3F5CE2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3CC8D2A4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7F45C26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240E288" w14:textId="7B20E8D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</w:t>
            </w:r>
            <w:r w:rsidR="00353C08">
              <w:rPr>
                <w:b/>
              </w:rPr>
              <w:t>,</w:t>
            </w:r>
            <w:r>
              <w:rPr>
                <w:b/>
              </w:rPr>
              <w:t>75</w:t>
            </w:r>
            <w:r w:rsidR="00353C08">
              <w:rPr>
                <w:b/>
              </w:rPr>
              <w:t>0</w:t>
            </w:r>
          </w:p>
        </w:tc>
      </w:tr>
      <w:tr w:rsidR="008B3E55" w14:paraId="4F581283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FDB565E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7C8D2F2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8B3E55" w14:paraId="387CEF40" w14:textId="77777777" w:rsidTr="00EA5433">
        <w:trPr>
          <w:trHeight w:val="688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00CB0FEC" w14:textId="77777777" w:rsidR="008B3E55" w:rsidRDefault="008B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vAlign w:val="center"/>
          </w:tcPr>
          <w:p w14:paraId="092E8C8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9D1EEEF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5C82EA3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BB2034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34690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ADE7C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AA21D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5A5CC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DA53FB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789A795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6EED064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2BD529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417130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4428E2C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8552486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566E9F1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829A468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0950C2B" w14:textId="77777777" w:rsidR="008B3E55" w:rsidRDefault="008B3E55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71006DB0" w14:textId="5D1047C2" w:rsidR="008B3E55" w:rsidRDefault="00144AFE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proofErr w:type="spellStart"/>
            <w:r w:rsidR="003574F6" w:rsidRPr="003574F6">
              <w:rPr>
                <w:b/>
                <w:color w:val="B7B7B7"/>
                <w:sz w:val="20"/>
                <w:szCs w:val="20"/>
              </w:rPr>
              <w:t>育堂十三苑</w:t>
            </w:r>
            <w:proofErr w:type="spellEnd"/>
            <w:r w:rsidR="00530194"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2BF34870" w14:textId="77777777" w:rsidR="008B3E55" w:rsidRDefault="008B3E55"/>
    <w:sectPr w:rsidR="008B3E55">
      <w:headerReference w:type="default" r:id="rId8"/>
      <w:footerReference w:type="default" r:id="rId9"/>
      <w:pgSz w:w="11900" w:h="16840"/>
      <w:pgMar w:top="709" w:right="567" w:bottom="816" w:left="56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93F7F"/>
    <w:rsid w:val="001D37FB"/>
    <w:rsid w:val="0026457F"/>
    <w:rsid w:val="002A172B"/>
    <w:rsid w:val="00307D4F"/>
    <w:rsid w:val="00353C08"/>
    <w:rsid w:val="003574F6"/>
    <w:rsid w:val="00361744"/>
    <w:rsid w:val="00503A3A"/>
    <w:rsid w:val="00530194"/>
    <w:rsid w:val="0056655D"/>
    <w:rsid w:val="00614A28"/>
    <w:rsid w:val="00694129"/>
    <w:rsid w:val="007A7D20"/>
    <w:rsid w:val="0080680C"/>
    <w:rsid w:val="00861CAB"/>
    <w:rsid w:val="008B3E55"/>
    <w:rsid w:val="008F5EAC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77354"/>
    <w:rsid w:val="00DD20B8"/>
    <w:rsid w:val="00DE0A73"/>
    <w:rsid w:val="00E642C2"/>
    <w:rsid w:val="00EA5433"/>
    <w:rsid w:val="00ED2C5C"/>
    <w:rsid w:val="00EF2CD0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6FB98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17</cp:revision>
  <cp:lastPrinted>2024-01-30T06:38:00Z</cp:lastPrinted>
  <dcterms:created xsi:type="dcterms:W3CDTF">2024-07-23T07:36:00Z</dcterms:created>
  <dcterms:modified xsi:type="dcterms:W3CDTF">2024-08-06T06:54:00Z</dcterms:modified>
</cp:coreProperties>
</file>