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839B8">
      <w:pPr>
        <w:widowControl/>
        <w:spacing w:before="0" w:after="40" w:line="240" w:lineRule="auto"/>
        <w:rPr>
          <w:color w:val="auto"/>
        </w:rPr>
      </w:pPr>
      <w:r>
        <w:rPr>
          <w:rFonts w:ascii="Calibri" w:hAnsi="Calibri" w:eastAsia="微软雅黑"/>
          <w:b/>
          <w:color w:val="auto"/>
          <w:sz w:val="20"/>
        </w:rPr>
        <w:t>流程与系统证据收集工具</w:t>
      </w:r>
    </w:p>
    <w:p w14:paraId="28815154">
      <w:pPr>
        <w:widowControl/>
        <w:spacing w:before="0" w:after="100" w:line="240" w:lineRule="auto"/>
        <w:rPr>
          <w:color w:val="auto"/>
        </w:rPr>
      </w:pPr>
      <w:r>
        <w:rPr>
          <w:rFonts w:ascii="Calibri" w:hAnsi="Calibri" w:eastAsia="微软雅黑"/>
          <w:b/>
          <w:color w:val="auto"/>
          <w:sz w:val="54"/>
        </w:rPr>
        <w:t>待咨询问题一揽子清单</w:t>
      </w:r>
    </w:p>
    <w:p w14:paraId="2675292A">
      <w:pPr>
        <w:widowControl/>
        <w:spacing w:before="0" w:after="280" w:line="276" w:lineRule="auto"/>
        <w:rPr>
          <w:color w:val="auto"/>
        </w:rPr>
      </w:pPr>
      <w:r>
        <w:rPr>
          <w:rFonts w:ascii="Calibri" w:hAnsi="Calibri" w:eastAsia="微软雅黑"/>
          <w:color w:val="auto"/>
          <w:sz w:val="24"/>
        </w:rPr>
        <w:t>按部门分工咨询｜避免重复询问｜支持去标识化留痕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3380"/>
        <w:gridCol w:w="1300"/>
        <w:gridCol w:w="3380"/>
      </w:tblGrid>
      <w:tr w14:paraId="3F3C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3423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课题编号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0BED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9"/>
              </w:rPr>
              <w:t>CW202611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EFAA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状态日期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5D5E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9"/>
              </w:rPr>
              <w:t>2026年7月27日</w:t>
            </w:r>
          </w:p>
        </w:tc>
      </w:tr>
      <w:tr w14:paraId="4D6E6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89FE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使用方式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A73F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9"/>
              </w:rPr>
              <w:t>分部门选择性转发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F727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回答原则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7F1FE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19"/>
              </w:rPr>
              <w:t>只答熟悉内容，可注明不清楚</w:t>
            </w:r>
          </w:p>
        </w:tc>
      </w:tr>
    </w:tbl>
    <w:p w14:paraId="05EA5B47">
      <w:pPr>
        <w:rPr>
          <w:color w:val="auto"/>
        </w:rPr>
      </w:pPr>
    </w:p>
    <w:p w14:paraId="1B2D188B">
      <w:pPr>
        <w:widowControl/>
        <w:pBdr>
          <w:left w:val="single" w:color="2E74B5" w:sz="18" w:space="8"/>
        </w:pBdr>
        <w:shd w:val="clear" w:fill="F4F6F9"/>
        <w:spacing w:before="40" w:after="200" w:line="300" w:lineRule="auto"/>
        <w:ind w:left="173" w:right="115"/>
        <w:rPr>
          <w:color w:val="auto"/>
        </w:rPr>
      </w:pPr>
      <w:r>
        <w:rPr>
          <w:rFonts w:ascii="Calibri" w:hAnsi="Calibri" w:eastAsia="微软雅黑"/>
          <w:color w:val="auto"/>
          <w:sz w:val="21"/>
        </w:rPr>
        <w:t>课题：基于内部控制视角的公立医院科研经费包干制落地研究（CW202611）</w:t>
      </w:r>
      <w:r>
        <w:rPr>
          <w:color w:val="auto"/>
        </w:rPr>
        <w:br w:type="textWrapping"/>
      </w:r>
      <w:r>
        <w:rPr>
          <w:rFonts w:ascii="Calibri" w:hAnsi="Calibri" w:eastAsia="微软雅黑"/>
          <w:color w:val="auto"/>
          <w:sz w:val="21"/>
        </w:rPr>
        <w:t>用途：把当前仍不清楚、需要向院内相关岗位请教的问题一次收口，供分部门咨询、访谈和收集去标识化证据使用。</w:t>
      </w:r>
      <w:r>
        <w:rPr>
          <w:color w:val="auto"/>
        </w:rPr>
        <w:br w:type="textWrapping"/>
      </w:r>
      <w:r>
        <w:rPr>
          <w:rFonts w:ascii="Calibri" w:hAnsi="Calibri" w:eastAsia="微软雅黑"/>
          <w:color w:val="auto"/>
          <w:sz w:val="21"/>
        </w:rPr>
        <w:t>使用原则：不要求任何一个人回答全部问题；只转发与对方职责相关的部分。对方不清楚时可直接写“不清楚/建议咨询××部门”，不要凭印象推断。</w:t>
      </w:r>
    </w:p>
    <w:p w14:paraId="0796DAEE">
      <w:pPr>
        <w:pStyle w:val="3"/>
        <w:keepNext/>
        <w:rPr>
          <w:color w:val="auto"/>
        </w:rPr>
      </w:pPr>
      <w:r>
        <w:rPr>
          <w:rFonts w:ascii="Calibri" w:hAnsi="Calibri" w:eastAsia="微软雅黑"/>
          <w:color w:val="auto"/>
          <w:sz w:val="32"/>
        </w:rPr>
        <w:t>一、已经确认的事项，不再重复询问</w:t>
      </w:r>
    </w:p>
    <w:p w14:paraId="35D82595">
      <w:pPr>
        <w:widowControl/>
        <w:numPr>
          <w:ilvl w:val="0"/>
          <w:numId w:val="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通大附〔2019〕215号科研经费办法和通大附〔2023〕63号包干制办法仍有效，目前没有包干制补充通知或操作指南。</w:t>
      </w:r>
    </w:p>
    <w:p w14:paraId="1DB3EC6F">
      <w:pPr>
        <w:widowControl/>
        <w:numPr>
          <w:ilvl w:val="0"/>
          <w:numId w:val="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包干制项目优先适用2023年特别办法，未规定事项衔接2019年一般科研经费办法。</w:t>
      </w:r>
    </w:p>
    <w:p w14:paraId="7892666A">
      <w:pPr>
        <w:widowControl/>
        <w:numPr>
          <w:ilvl w:val="0"/>
          <w:numId w:val="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立项、财务建账、报销和结题使用科研管理系统；技术服务、生物化学试剂、实验耗材等采购使用锐竞科研采购平台。</w:t>
      </w:r>
    </w:p>
    <w:p w14:paraId="7373E618">
      <w:pPr>
        <w:widowControl/>
        <w:numPr>
          <w:ilvl w:val="0"/>
          <w:numId w:val="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科研管理系统与其他系统目前不互联。</w:t>
      </w:r>
    </w:p>
    <w:p w14:paraId="52E4FD79">
      <w:pPr>
        <w:widowControl/>
        <w:numPr>
          <w:ilvl w:val="0"/>
          <w:numId w:val="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横向课题立项到财务节点后，由科研岗位手工录入经费卡号、到账金额、预算事项和分管归口。</w:t>
      </w:r>
    </w:p>
    <w:p w14:paraId="47ABB8B5">
      <w:pPr>
        <w:widowControl/>
        <w:numPr>
          <w:ilvl w:val="0"/>
          <w:numId w:val="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纵向课题立项到财务节点后，由科研岗位手工录入经费卡号、经费来源及金额、分管归口和业务事项。</w:t>
      </w:r>
    </w:p>
    <w:p w14:paraId="3E037DD7">
      <w:pPr>
        <w:widowControl/>
        <w:numPr>
          <w:ilvl w:val="0"/>
          <w:numId w:val="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锐竞采购完成后，在科研管理系统提交报销并上传发票、送货单、验收单；试剂材料费还需上传出入库单。</w:t>
      </w:r>
    </w:p>
    <w:p w14:paraId="1220F46A">
      <w:pPr>
        <w:widowControl/>
        <w:numPr>
          <w:ilvl w:val="0"/>
          <w:numId w:val="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线上审批后，仍需线下送交科研系统中提交的全部附件和科研审批单。</w:t>
      </w:r>
    </w:p>
    <w:p w14:paraId="367376B2">
      <w:pPr>
        <w:widowControl/>
        <w:numPr>
          <w:ilvl w:val="0"/>
          <w:numId w:val="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报销通常由科技处审批；3万元及以上增加分管院长审批；医院人才项目由人才工作部审批。</w:t>
      </w:r>
    </w:p>
    <w:p w14:paraId="63F798CC">
      <w:pPr>
        <w:widowControl/>
        <w:numPr>
          <w:ilvl w:val="0"/>
          <w:numId w:val="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财务稽核人工核对金额、名称和明细；报销项目选择错误、课题经费不足等在科研系统人工驳回。</w:t>
      </w:r>
    </w:p>
    <w:p w14:paraId="71CEFF4A">
      <w:pPr>
        <w:widowControl/>
        <w:numPr>
          <w:ilvl w:val="0"/>
          <w:numId w:val="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经费不足时系统会提示余额不足，其余已知环节主要人工审核。</w:t>
      </w:r>
    </w:p>
    <w:p w14:paraId="24BC6CF6">
      <w:pPr>
        <w:widowControl/>
        <w:numPr>
          <w:ilvl w:val="0"/>
          <w:numId w:val="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财务通过网银系统付款；银行回单送达后，再在财务核算系统人工做账。</w:t>
      </w:r>
    </w:p>
    <w:p w14:paraId="120ECE46">
      <w:pPr>
        <w:widowControl/>
        <w:numPr>
          <w:ilvl w:val="0"/>
          <w:numId w:val="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审计时可从科研系统查看立项流程、合同、经费使用明细和锐竞采购信息；付款信息从网银或原始凭证追溯。</w:t>
      </w:r>
    </w:p>
    <w:p w14:paraId="0B9D40B2">
      <w:pPr>
        <w:pStyle w:val="3"/>
        <w:keepNext/>
        <w:rPr>
          <w:color w:val="auto"/>
        </w:rPr>
      </w:pPr>
      <w:r>
        <w:rPr>
          <w:rFonts w:ascii="Calibri" w:hAnsi="Calibri" w:eastAsia="微软雅黑"/>
          <w:color w:val="auto"/>
          <w:sz w:val="32"/>
        </w:rPr>
        <w:t>二、咨询顺序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700"/>
        <w:gridCol w:w="5360"/>
      </w:tblGrid>
      <w:tr w14:paraId="1FF1B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5499">
            <w:pPr>
              <w:widowControl/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优先级</w:t>
            </w:r>
          </w:p>
        </w:tc>
        <w:tc>
          <w:tcPr>
            <w:tcW w:w="2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B0C6">
            <w:pPr>
              <w:widowControl/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建议先咨询对象</w:t>
            </w:r>
          </w:p>
        </w:tc>
        <w:tc>
          <w:tcPr>
            <w:tcW w:w="53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5FE3">
            <w:pPr>
              <w:widowControl/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主要解决的问题</w:t>
            </w:r>
          </w:p>
        </w:tc>
      </w:tr>
      <w:tr w14:paraId="1EC16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A803">
            <w:pPr>
              <w:widowControl/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F470A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科技处/科研管理岗位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5AD5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制度边界、项目识别、审批路由、经费调剂、结题和科研系统业务规则</w:t>
            </w:r>
          </w:p>
        </w:tc>
      </w:tr>
      <w:tr w14:paraId="2F5A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942E6">
            <w:pPr>
              <w:widowControl/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8D820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财务处/财务科研经费岗位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8FB9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财务建账、额度形成、纸电材料、付款记账、退回和账务追溯</w:t>
            </w:r>
          </w:p>
        </w:tc>
      </w:tr>
      <w:tr w14:paraId="0415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5AD9">
            <w:pPr>
              <w:widowControl/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EE07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信息中心或科研系统管理员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B144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科研系统显示锐竞信息的来源、权限、日志、数据导出和自动控制</w:t>
            </w:r>
          </w:p>
        </w:tc>
      </w:tr>
      <w:tr w14:paraId="3E78B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823D">
            <w:pPr>
              <w:widowControl/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2B93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采购、设备或资产管理岗位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5D46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一般设备采购、验收、入库和资产登记流程</w:t>
            </w:r>
          </w:p>
        </w:tc>
      </w:tr>
      <w:tr w14:paraId="5EA5F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AAC3">
            <w:pPr>
              <w:widowControl/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ECCDC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审计/内控岗位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3B69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审计取数、风险评估、整改闭环和典型问题</w:t>
            </w:r>
          </w:p>
        </w:tc>
      </w:tr>
      <w:tr w14:paraId="0B833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180D5">
            <w:pPr>
              <w:widowControl/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09B92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人才工作部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97FD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人才项目审批范围、权限依据和系统路由</w:t>
            </w:r>
          </w:p>
        </w:tc>
      </w:tr>
      <w:tr w14:paraId="21491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0B5D">
            <w:pPr>
              <w:widowControl/>
              <w:spacing w:before="0" w:after="0" w:line="276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B3BD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成果转化、合同或法务相关岗位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CEDA">
            <w:pPr>
              <w:widowControl/>
              <w:spacing w:before="0" w:after="0" w:line="276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成果登记、赋权、合同审查、利益冲突和收益分配</w:t>
            </w:r>
          </w:p>
        </w:tc>
      </w:tr>
    </w:tbl>
    <w:p w14:paraId="5F67919E">
      <w:pPr>
        <w:widowControl/>
        <w:spacing w:before="0" w:after="40" w:line="240" w:lineRule="auto"/>
        <w:rPr>
          <w:color w:val="auto"/>
        </w:rPr>
      </w:pPr>
      <w:bookmarkStart w:id="0" w:name="_GoBack"/>
      <w:bookmarkEnd w:id="0"/>
    </w:p>
    <w:p w14:paraId="40704B9B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第一轮最小咨询包</w:t>
      </w:r>
    </w:p>
    <w:p w14:paraId="1034C39A">
      <w:pPr>
        <w:widowControl/>
        <w:spacing w:before="0" w:after="12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如果暂时不便全面咨询，建议先问以下12项，已经足以补强当前结题报告和论文主线：</w:t>
      </w:r>
    </w:p>
    <w:p w14:paraId="620190CA">
      <w:pPr>
        <w:widowControl/>
        <w:numPr>
          <w:ilvl w:val="0"/>
          <w:numId w:val="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科研系统中显示的锐竞采购信息究竟来自接口、人工上传、跳转还是导入？</w:t>
      </w:r>
    </w:p>
    <w:p w14:paraId="7F739F4B">
      <w:pPr>
        <w:widowControl/>
        <w:numPr>
          <w:ilvl w:val="0"/>
          <w:numId w:val="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科研岗位录入立项经费信息后，财务系统如何建账并形成可用额度？</w:t>
      </w:r>
    </w:p>
    <w:p w14:paraId="59A23D0A">
      <w:pPr>
        <w:widowControl/>
        <w:numPr>
          <w:ilvl w:val="0"/>
          <w:numId w:val="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网银付款和财务记账状态是否回写科研系统？如果不回写，如何关联和查询？</w:t>
      </w:r>
    </w:p>
    <w:p w14:paraId="5D1B3EC0">
      <w:pPr>
        <w:widowControl/>
        <w:numPr>
          <w:ilvl w:val="0"/>
          <w:numId w:val="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通大附〔2020〕37号、通大附〔2020〕65号是否仍有效？</w:t>
      </w:r>
    </w:p>
    <w:p w14:paraId="39384EB1">
      <w:pPr>
        <w:widowControl/>
        <w:numPr>
          <w:ilvl w:val="0"/>
          <w:numId w:val="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科研系统能否自动识别包干制属性、3万元审批和人才项目审批路径？</w:t>
      </w:r>
    </w:p>
    <w:p w14:paraId="50F57646">
      <w:pPr>
        <w:widowControl/>
        <w:numPr>
          <w:ilvl w:val="0"/>
          <w:numId w:val="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包干制经费调剂按自主调剂、备案还是审批办理？不同来源是否不同？</w:t>
      </w:r>
    </w:p>
    <w:p w14:paraId="6813B85B">
      <w:pPr>
        <w:widowControl/>
        <w:numPr>
          <w:ilvl w:val="0"/>
          <w:numId w:val="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项目结题、决算、未清往来和结余资金如何处理并留痕？</w:t>
      </w:r>
    </w:p>
    <w:p w14:paraId="14FC548A">
      <w:pPr>
        <w:widowControl/>
        <w:numPr>
          <w:ilvl w:val="0"/>
          <w:numId w:val="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一般设备采购使用什么系统，如何完成验收和资产入账？</w:t>
      </w:r>
    </w:p>
    <w:p w14:paraId="794D7A75">
      <w:pPr>
        <w:widowControl/>
        <w:numPr>
          <w:ilvl w:val="0"/>
          <w:numId w:val="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审计能否直接取得完整过程数据，整改责任、期限和销号在哪里记录？</w:t>
      </w:r>
    </w:p>
    <w:p w14:paraId="1FF3D842">
      <w:pPr>
        <w:widowControl/>
        <w:numPr>
          <w:ilvl w:val="0"/>
          <w:numId w:val="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除余额不足外，现有系统还有哪些自动校验、提醒或预警？</w:t>
      </w:r>
    </w:p>
    <w:p w14:paraId="57EC125F">
      <w:pPr>
        <w:widowControl/>
        <w:numPr>
          <w:ilvl w:val="0"/>
          <w:numId w:val="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人才项目由人才工作部审批的范围、依据和后续流转是什么？</w:t>
      </w:r>
    </w:p>
    <w:p w14:paraId="2BBB0D56">
      <w:pPr>
        <w:widowControl/>
        <w:numPr>
          <w:ilvl w:val="0"/>
          <w:numId w:val="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成果转化的登记、赋权、合规审查、合同、收益分配和利益冲突控制如何办理？</w:t>
      </w:r>
    </w:p>
    <w:p w14:paraId="19242EB2">
      <w:pPr>
        <w:widowControl/>
        <w:spacing w:before="40" w:after="40" w:line="240" w:lineRule="auto"/>
        <w:rPr>
          <w:color w:val="auto"/>
        </w:rPr>
      </w:pPr>
    </w:p>
    <w:p w14:paraId="1BDC5612">
      <w:pPr>
        <w:pStyle w:val="3"/>
        <w:keepNext/>
        <w:rPr>
          <w:color w:val="auto"/>
        </w:rPr>
      </w:pPr>
      <w:r>
        <w:rPr>
          <w:rFonts w:ascii="Calibri" w:hAnsi="Calibri" w:eastAsia="微软雅黑"/>
          <w:color w:val="auto"/>
          <w:sz w:val="32"/>
        </w:rPr>
        <w:t>三、请科技处或科研管理岗位回答</w:t>
      </w:r>
    </w:p>
    <w:p w14:paraId="340D4AC3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A. 制度效力与统一口径</w:t>
      </w:r>
    </w:p>
    <w:p w14:paraId="58DB2675">
      <w:pPr>
        <w:widowControl/>
        <w:numPr>
          <w:ilvl w:val="0"/>
          <w:numId w:val="9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通大附〔2020〕37号《科研管理办法》目前是否仍有效？是否有修订、废止或替代文件？</w:t>
      </w:r>
    </w:p>
    <w:p w14:paraId="7E1C510B">
      <w:pPr>
        <w:widowControl/>
        <w:numPr>
          <w:ilvl w:val="0"/>
          <w:numId w:val="9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通大附〔2020〕65号《横向科研项目与经费管理办法》目前是否仍有效？是否有修订、废止或替代文件？</w:t>
      </w:r>
    </w:p>
    <w:p w14:paraId="2DE5F26D">
      <w:pPr>
        <w:widowControl/>
        <w:numPr>
          <w:ilvl w:val="0"/>
          <w:numId w:val="9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院内是否已经形成包干制负面清单、常见问题库、报销指南、经费使用问答或统一解释口径？若有，请提供文件名称或现行版本。</w:t>
      </w:r>
    </w:p>
    <w:p w14:paraId="723F1C75">
      <w:pPr>
        <w:widowControl/>
        <w:numPr>
          <w:ilvl w:val="0"/>
          <w:numId w:val="9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对“其他合理支出”、经费调剂、劳务费、绩效支出、材料费、设备费等边界事项，由哪个部门作最终解释？疑难事项采用会签、集体讨论还是个案审批？</w:t>
      </w:r>
    </w:p>
    <w:p w14:paraId="039DF1E7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B. 立项、项目识别与审批</w:t>
      </w:r>
    </w:p>
    <w:p w14:paraId="08460ABC">
      <w:pPr>
        <w:widowControl/>
        <w:numPr>
          <w:ilvl w:val="0"/>
          <w:numId w:val="10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科研管理系统能否明确标识一个项目是否属于包干制？该属性由谁录入、依据什么材料、后续能否修改？</w:t>
      </w:r>
    </w:p>
    <w:p w14:paraId="0B60F90E">
      <w:pPr>
        <w:widowControl/>
        <w:numPr>
          <w:ilvl w:val="0"/>
          <w:numId w:val="10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横向、纵向项目的手工录入字段是否有复核岗位？经费卡号、到账金额、经费来源等字段修改后，系统是否保留修改人、修改时间和修改前内容？</w:t>
      </w:r>
    </w:p>
    <w:p w14:paraId="47605B6D">
      <w:pPr>
        <w:widowControl/>
        <w:numPr>
          <w:ilvl w:val="0"/>
          <w:numId w:val="10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3万元及以上增加分管院长审批的依据是什么？该规则由科研系统自动路由，还是经办人员人工判断？</w:t>
      </w:r>
    </w:p>
    <w:p w14:paraId="1A5894CF">
      <w:pPr>
        <w:widowControl/>
        <w:numPr>
          <w:ilvl w:val="0"/>
          <w:numId w:val="10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医院人才项目转人才工作部审批的项目范围和依据是什么？科研系统是否自动识别、自动转交并保留审批记录？</w:t>
      </w:r>
    </w:p>
    <w:p w14:paraId="022457BF">
      <w:pPr>
        <w:widowControl/>
        <w:numPr>
          <w:ilvl w:val="0"/>
          <w:numId w:val="10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报销驳回原因是否有标准化选项或编码？能否统计“项目选择错误、材料不全、经费不足、支出边界不清”等高频退回原因？</w:t>
      </w:r>
    </w:p>
    <w:p w14:paraId="7A8ED021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C. 经费调剂、过程管理与结题</w:t>
      </w:r>
    </w:p>
    <w:p w14:paraId="7F5F5F83">
      <w:pPr>
        <w:widowControl/>
        <w:numPr>
          <w:ilvl w:val="0"/>
          <w:numId w:val="1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包干制经费调剂是负责人自主调剂、财务备案，还是仍需审批？不同项目来源或经费来源是否采用不同规则？</w:t>
      </w:r>
    </w:p>
    <w:p w14:paraId="67060993">
      <w:pPr>
        <w:widowControl/>
        <w:numPr>
          <w:ilvl w:val="0"/>
          <w:numId w:val="1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项目执行过程中，系统是否提醒项目到期、执行进度偏慢、长期无支出、集中支出或异常退回？</w:t>
      </w:r>
    </w:p>
    <w:p w14:paraId="21AA5587">
      <w:pPr>
        <w:widowControl/>
        <w:numPr>
          <w:ilvl w:val="0"/>
          <w:numId w:val="1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项目结题时需要提交哪些材料、经过哪些部门和系统节点？</w:t>
      </w:r>
    </w:p>
    <w:p w14:paraId="05CE7AC9">
      <w:pPr>
        <w:widowControl/>
        <w:numPr>
          <w:ilvl w:val="0"/>
          <w:numId w:val="1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结题前如何处理未报销事项、往来款、预付款和在途采购？</w:t>
      </w:r>
    </w:p>
    <w:p w14:paraId="56DE0DBE">
      <w:pPr>
        <w:widowControl/>
        <w:numPr>
          <w:ilvl w:val="0"/>
          <w:numId w:val="1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结余资金如何处理？科研系统或财务系统是否会根据结题状态自动限制或调整可用额度？</w:t>
      </w:r>
    </w:p>
    <w:p w14:paraId="54CFB8D4">
      <w:pPr>
        <w:widowControl/>
        <w:numPr>
          <w:ilvl w:val="0"/>
          <w:numId w:val="1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结题、决算、结余处置和关闭状态是否在科研系统中留痕？审计能否直接查看？</w:t>
      </w:r>
    </w:p>
    <w:p w14:paraId="597CB643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D. 最好能够提供的证据</w:t>
      </w:r>
    </w:p>
    <w:p w14:paraId="03F2E598">
      <w:pPr>
        <w:widowControl/>
        <w:numPr>
          <w:ilvl w:val="0"/>
          <w:numId w:val="12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一张去标识化的包干制项目属性或立项录入页面。</w:t>
      </w:r>
    </w:p>
    <w:p w14:paraId="5734BD86">
      <w:pPr>
        <w:widowControl/>
        <w:numPr>
          <w:ilvl w:val="0"/>
          <w:numId w:val="12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一张3万元及以上审批流或人才项目审批流页面。</w:t>
      </w:r>
    </w:p>
    <w:p w14:paraId="35E7EF84">
      <w:pPr>
        <w:widowControl/>
        <w:numPr>
          <w:ilvl w:val="0"/>
          <w:numId w:val="12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一张报销驳回页面或标准驳回原因列表。</w:t>
      </w:r>
    </w:p>
    <w:p w14:paraId="121DF7F3">
      <w:pPr>
        <w:widowControl/>
        <w:numPr>
          <w:ilvl w:val="0"/>
          <w:numId w:val="12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一张结题流程或结余处置页面。</w:t>
      </w:r>
    </w:p>
    <w:p w14:paraId="267CE704">
      <w:pPr>
        <w:widowControl/>
        <w:numPr>
          <w:ilvl w:val="0"/>
          <w:numId w:val="12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2020科研管理办法、横向项目办法、负面清单或现行操作指南的文件名称及版本。</w:t>
      </w:r>
    </w:p>
    <w:p w14:paraId="1AE6066F">
      <w:pPr>
        <w:widowControl/>
        <w:spacing w:before="40" w:after="40" w:line="240" w:lineRule="auto"/>
        <w:rPr>
          <w:color w:val="auto"/>
        </w:rPr>
      </w:pPr>
    </w:p>
    <w:p w14:paraId="11409500">
      <w:pPr>
        <w:pStyle w:val="3"/>
        <w:keepNext/>
        <w:rPr>
          <w:color w:val="auto"/>
        </w:rPr>
      </w:pPr>
      <w:r>
        <w:rPr>
          <w:rFonts w:ascii="Calibri" w:hAnsi="Calibri" w:eastAsia="微软雅黑"/>
          <w:color w:val="auto"/>
          <w:sz w:val="32"/>
        </w:rPr>
        <w:t>四、请财务处或财务科研经费岗位回答</w:t>
      </w:r>
    </w:p>
    <w:p w14:paraId="58EF4F57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A. 财务建账与可用额度</w:t>
      </w:r>
    </w:p>
    <w:p w14:paraId="01644924">
      <w:pPr>
        <w:widowControl/>
        <w:numPr>
          <w:ilvl w:val="0"/>
          <w:numId w:val="13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科研岗位在科研管理系统录入经费卡号、到账金额等信息后，财务核算系统如何建立项目账或经费卡？</w:t>
      </w:r>
    </w:p>
    <w:p w14:paraId="34EAA05B">
      <w:pPr>
        <w:widowControl/>
        <w:numPr>
          <w:ilvl w:val="0"/>
          <w:numId w:val="13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财务人员是否需要在财务核算系统、Excel台账或其他模块再次录入项目编号、负责人、经费来源、到账金额、预算/业务事项等内容？</w:t>
      </w:r>
    </w:p>
    <w:p w14:paraId="7E424FDC">
      <w:pPr>
        <w:widowControl/>
        <w:numPr>
          <w:ilvl w:val="0"/>
          <w:numId w:val="13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科研系统显示的可用余额从哪里形成？是科研岗位录入后直接生成，还是财务人员另行设置或定期维护？</w:t>
      </w:r>
    </w:p>
    <w:p w14:paraId="7AD15BA4">
      <w:pPr>
        <w:widowControl/>
        <w:numPr>
          <w:ilvl w:val="0"/>
          <w:numId w:val="13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经费卡号、项目编号和财务核算科目之间如何对应？是否有统一映射表和复核机制？</w:t>
      </w:r>
    </w:p>
    <w:p w14:paraId="329B0774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B. 报销、稽核与退回</w:t>
      </w:r>
    </w:p>
    <w:p w14:paraId="6F3A8D28">
      <w:pPr>
        <w:widowControl/>
        <w:numPr>
          <w:ilvl w:val="0"/>
          <w:numId w:val="14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科研系统已上传的附件为什么还需线下提交同套材料？哪些纸质材料属于财务、审计或档案管理的必要要求？</w:t>
      </w:r>
    </w:p>
    <w:p w14:paraId="4AF0FD41">
      <w:pPr>
        <w:widowControl/>
        <w:numPr>
          <w:ilvl w:val="0"/>
          <w:numId w:val="14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财务核对电子材料与纸质材料时，若两者不一致，以哪一份为准？如何留痕和退回？</w:t>
      </w:r>
    </w:p>
    <w:p w14:paraId="12F19DFA">
      <w:pPr>
        <w:widowControl/>
        <w:numPr>
          <w:ilvl w:val="0"/>
          <w:numId w:val="14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除余额不足外，系统是否会自动检查经费卡号、支出科目、发票重复、金额一致性、审批权限或材料完整性？</w:t>
      </w:r>
    </w:p>
    <w:p w14:paraId="6DFE7C1E">
      <w:pPr>
        <w:widowControl/>
        <w:numPr>
          <w:ilvl w:val="0"/>
          <w:numId w:val="14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财务常见的退回原因有哪些？是否可以提供一条去标识化的典型退回说明？</w:t>
      </w:r>
    </w:p>
    <w:p w14:paraId="00753F12">
      <w:pPr>
        <w:widowControl/>
        <w:numPr>
          <w:ilvl w:val="0"/>
          <w:numId w:val="14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劳务费、专家咨询费、绩效支出是否有比例、人员资格、发放标准或重复领取校验？哪些靠系统，哪些靠人工？</w:t>
      </w:r>
    </w:p>
    <w:p w14:paraId="4A60ADE0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C. 付款、记账与状态衔接</w:t>
      </w:r>
    </w:p>
    <w:p w14:paraId="09659784">
      <w:pPr>
        <w:widowControl/>
        <w:numPr>
          <w:ilvl w:val="0"/>
          <w:numId w:val="15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科研系统稽核完成后，付款信息如何传给银行会计？是系统导出、纸质单据、Excel清单还是人工通知？</w:t>
      </w:r>
    </w:p>
    <w:p w14:paraId="2F3ACAD9">
      <w:pPr>
        <w:widowControl/>
        <w:numPr>
          <w:ilvl w:val="0"/>
          <w:numId w:val="15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网银付款完成后，付款状态是否回写科研管理系统？若不回写，课题负责人如何知道已经付款？</w:t>
      </w:r>
    </w:p>
    <w:p w14:paraId="7552FBA5">
      <w:pPr>
        <w:widowControl/>
        <w:numPr>
          <w:ilvl w:val="0"/>
          <w:numId w:val="15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银行回单送达后，财务核算系统人工做账需要再次录入哪些字段？</w:t>
      </w:r>
    </w:p>
    <w:p w14:paraId="0EA87F19">
      <w:pPr>
        <w:widowControl/>
        <w:numPr>
          <w:ilvl w:val="0"/>
          <w:numId w:val="15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从科研报销单、网银付款记录到财务凭证，使用什么编号或字段进行关联？</w:t>
      </w:r>
    </w:p>
    <w:p w14:paraId="076F7FE1">
      <w:pPr>
        <w:widowControl/>
        <w:numPr>
          <w:ilvl w:val="0"/>
          <w:numId w:val="15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付款、银行回单和财务记账之间通常是否存在时间差？未收到回单或暂未记账时如何核对和跟踪？</w:t>
      </w:r>
    </w:p>
    <w:p w14:paraId="1DA8D05E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D. 结题与审计</w:t>
      </w:r>
    </w:p>
    <w:p w14:paraId="6B159D05">
      <w:pPr>
        <w:widowControl/>
        <w:numPr>
          <w:ilvl w:val="0"/>
          <w:numId w:val="16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结题决算时，财务主要核对哪些事项？未清往来、预付款、未完成报销和结余资金分别如何处理？</w:t>
      </w:r>
    </w:p>
    <w:p w14:paraId="7BE4711F">
      <w:pPr>
        <w:widowControl/>
        <w:numPr>
          <w:ilvl w:val="0"/>
          <w:numId w:val="16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审计需要付款和记账证据时，财务能够按项目一次导出，还是需要逐笔查询网银、凭证和原始附件？</w:t>
      </w:r>
    </w:p>
    <w:p w14:paraId="7C793E89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E. 最好能够提供的证据</w:t>
      </w:r>
    </w:p>
    <w:p w14:paraId="76DFE78A">
      <w:pPr>
        <w:widowControl/>
        <w:numPr>
          <w:ilvl w:val="0"/>
          <w:numId w:val="1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一张去标识化财务建账或项目经费卡页面。</w:t>
      </w:r>
    </w:p>
    <w:p w14:paraId="724BB5F9">
      <w:pPr>
        <w:widowControl/>
        <w:numPr>
          <w:ilvl w:val="0"/>
          <w:numId w:val="1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一张余额不足提示或财务稽核页面。</w:t>
      </w:r>
    </w:p>
    <w:p w14:paraId="52445F3C">
      <w:pPr>
        <w:widowControl/>
        <w:numPr>
          <w:ilvl w:val="0"/>
          <w:numId w:val="1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一份隐去识别信息的科研报销单—网银回单—财务凭证关联示例。</w:t>
      </w:r>
    </w:p>
    <w:p w14:paraId="66DCA7BF">
      <w:pPr>
        <w:widowControl/>
        <w:numPr>
          <w:ilvl w:val="0"/>
          <w:numId w:val="1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一条典型退回或补正说明。</w:t>
      </w:r>
    </w:p>
    <w:p w14:paraId="595772F4">
      <w:pPr>
        <w:widowControl/>
        <w:numPr>
          <w:ilvl w:val="0"/>
          <w:numId w:val="17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一份结题决算或结余处置的操作说明。</w:t>
      </w:r>
    </w:p>
    <w:p w14:paraId="2B1945A9">
      <w:pPr>
        <w:widowControl/>
        <w:spacing w:before="40" w:after="40" w:line="240" w:lineRule="auto"/>
        <w:rPr>
          <w:color w:val="auto"/>
        </w:rPr>
      </w:pPr>
    </w:p>
    <w:p w14:paraId="35CE8ED3">
      <w:pPr>
        <w:pStyle w:val="3"/>
        <w:keepNext/>
        <w:rPr>
          <w:color w:val="auto"/>
        </w:rPr>
      </w:pPr>
      <w:r>
        <w:rPr>
          <w:rFonts w:ascii="Calibri" w:hAnsi="Calibri" w:eastAsia="微软雅黑"/>
          <w:color w:val="auto"/>
          <w:sz w:val="32"/>
        </w:rPr>
        <w:t>五、请信息中心、科研系统管理员或系统供应商回答</w:t>
      </w:r>
    </w:p>
    <w:p w14:paraId="59A50614">
      <w:pPr>
        <w:widowControl/>
        <w:numPr>
          <w:ilvl w:val="0"/>
          <w:numId w:val="1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科研管理系统能够看到的锐竞采购信息具体包括什么：采购申请、订单、合同、验收、发票、入库还是仅有人工上传的附件？</w:t>
      </w:r>
    </w:p>
    <w:p w14:paraId="2B0EC6D6">
      <w:pPr>
        <w:widowControl/>
        <w:numPr>
          <w:ilvl w:val="0"/>
          <w:numId w:val="1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这些锐竞采购信息是通过系统接口、链接跳转、人工上传、定期导入，还是其他方式形成？请明确“能看到”与“自动互联”的区别。</w:t>
      </w:r>
    </w:p>
    <w:p w14:paraId="07ECDC5F">
      <w:pPr>
        <w:widowControl/>
        <w:numPr>
          <w:ilvl w:val="0"/>
          <w:numId w:val="1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科研管理系统目前与财务核算、网银、资产、合同、OA、审计等系统是否均无接口？是否存在单向导入、文件交换或人工批量导入？</w:t>
      </w:r>
    </w:p>
    <w:p w14:paraId="6BF99083">
      <w:pPr>
        <w:widowControl/>
        <w:numPr>
          <w:ilvl w:val="0"/>
          <w:numId w:val="1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包干制项目属性、项目类型、经费卡号、经费来源、分管归口等字段是否设置必填、格式校验和逻辑校验？</w:t>
      </w:r>
    </w:p>
    <w:p w14:paraId="6A5812AC">
      <w:pPr>
        <w:widowControl/>
        <w:numPr>
          <w:ilvl w:val="0"/>
          <w:numId w:val="1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经费不足提醒的触发数据来自哪里？余额多久更新一次？</w:t>
      </w:r>
    </w:p>
    <w:p w14:paraId="3F44B0B1">
      <w:pPr>
        <w:widowControl/>
        <w:numPr>
          <w:ilvl w:val="0"/>
          <w:numId w:val="1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系统是否还有以下自动控制：重复发票校验、支出范围提示、材料完整性检查、审批金额分级、人员资格校验、到期提醒、异常支出预警？</w:t>
      </w:r>
    </w:p>
    <w:p w14:paraId="007B6966">
      <w:pPr>
        <w:widowControl/>
        <w:numPr>
          <w:ilvl w:val="0"/>
          <w:numId w:val="1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3万元及以上审批和人才项目审批，是根据金额及项目属性自动路由，还是由经办人员选择审批人？</w:t>
      </w:r>
    </w:p>
    <w:p w14:paraId="26A22411">
      <w:pPr>
        <w:widowControl/>
        <w:numPr>
          <w:ilvl w:val="0"/>
          <w:numId w:val="1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报销驳回原因、审批意见、字段修改、附件替换、操作人员和操作时间是否完整留痕？日志可保存多久？</w:t>
      </w:r>
    </w:p>
    <w:p w14:paraId="4948AAF0">
      <w:pPr>
        <w:widowControl/>
        <w:numPr>
          <w:ilvl w:val="0"/>
          <w:numId w:val="1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网银付款和财务记账状态是否能够回写或人工标记到科研系统？</w:t>
      </w:r>
    </w:p>
    <w:p w14:paraId="2E6DA8C8">
      <w:pPr>
        <w:widowControl/>
        <w:numPr>
          <w:ilvl w:val="0"/>
          <w:numId w:val="1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审计人员能否获得只读权限或按项目导出立项、合同、采购、报销、审批和结题记录？导出内容是否包含操作日志？</w:t>
      </w:r>
    </w:p>
    <w:p w14:paraId="30966EF5">
      <w:pPr>
        <w:widowControl/>
        <w:numPr>
          <w:ilvl w:val="0"/>
          <w:numId w:val="1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系统是否支持整改任务、责任人、整改期限、复核和关闭状态管理？</w:t>
      </w:r>
    </w:p>
    <w:p w14:paraId="6466ADF5">
      <w:pPr>
        <w:widowControl/>
        <w:numPr>
          <w:ilvl w:val="0"/>
          <w:numId w:val="18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若未来推进系统衔接，哪些数据可以通过接口共享，哪些因安全、权限或系统条件只能人工处理？</w:t>
      </w:r>
    </w:p>
    <w:p w14:paraId="77AE345C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最好能够提供的证据</w:t>
      </w:r>
    </w:p>
    <w:p w14:paraId="4A16A3E8">
      <w:pPr>
        <w:widowControl/>
        <w:numPr>
          <w:ilvl w:val="0"/>
          <w:numId w:val="19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一份系统清单及各系统归口部门。</w:t>
      </w:r>
    </w:p>
    <w:p w14:paraId="6197B166">
      <w:pPr>
        <w:widowControl/>
        <w:numPr>
          <w:ilvl w:val="0"/>
          <w:numId w:val="19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一张科研系统显示锐竞采购信息的去标识化页面。</w:t>
      </w:r>
    </w:p>
    <w:p w14:paraId="65DCABE6">
      <w:pPr>
        <w:widowControl/>
        <w:numPr>
          <w:ilvl w:val="0"/>
          <w:numId w:val="19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一张审批路由、驳回原因或操作日志页面。</w:t>
      </w:r>
    </w:p>
    <w:p w14:paraId="2E47A378">
      <w:pPr>
        <w:widowControl/>
        <w:numPr>
          <w:ilvl w:val="0"/>
          <w:numId w:val="19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一份现有接口、文件导入或数据交换方式说明。</w:t>
      </w:r>
    </w:p>
    <w:p w14:paraId="794BF9B5">
      <w:pPr>
        <w:widowControl/>
        <w:numPr>
          <w:ilvl w:val="0"/>
          <w:numId w:val="19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一份科研系统审计导出字段清单。</w:t>
      </w:r>
    </w:p>
    <w:p w14:paraId="266B2B5E">
      <w:pPr>
        <w:widowControl/>
        <w:spacing w:before="40" w:after="40" w:line="240" w:lineRule="auto"/>
        <w:rPr>
          <w:color w:val="auto"/>
        </w:rPr>
      </w:pPr>
    </w:p>
    <w:p w14:paraId="572CE59E">
      <w:pPr>
        <w:pStyle w:val="3"/>
        <w:keepNext/>
        <w:rPr>
          <w:color w:val="auto"/>
        </w:rPr>
      </w:pPr>
      <w:r>
        <w:rPr>
          <w:rFonts w:ascii="Calibri" w:hAnsi="Calibri" w:eastAsia="微软雅黑"/>
          <w:color w:val="auto"/>
          <w:sz w:val="32"/>
        </w:rPr>
        <w:t>六、请采购、设备或资产管理岗位回答</w:t>
      </w:r>
    </w:p>
    <w:p w14:paraId="367A01C9">
      <w:pPr>
        <w:widowControl/>
        <w:numPr>
          <w:ilvl w:val="0"/>
          <w:numId w:val="20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一般设备采购是否走锐竞科研采购平台？如果不走，使用哪个系统或线下流程？</w:t>
      </w:r>
    </w:p>
    <w:p w14:paraId="5FD5E2EC">
      <w:pPr>
        <w:widowControl/>
        <w:numPr>
          <w:ilvl w:val="0"/>
          <w:numId w:val="20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设备采购按金额、品类或资产属性如何分流？分别由谁审批？</w:t>
      </w:r>
    </w:p>
    <w:p w14:paraId="5FBE88F0">
      <w:pPr>
        <w:widowControl/>
        <w:numPr>
          <w:ilvl w:val="0"/>
          <w:numId w:val="20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科研项目采购设备需要哪些材料：采购申请、论证、合同、验收、入库、发票、资产登记等？</w:t>
      </w:r>
    </w:p>
    <w:p w14:paraId="00310947">
      <w:pPr>
        <w:widowControl/>
        <w:numPr>
          <w:ilvl w:val="0"/>
          <w:numId w:val="20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设备验收完成后，如何进入资产管理系统？是否需要人工重复录入项目编号、设备信息、合同、发票和资产编号？</w:t>
      </w:r>
    </w:p>
    <w:p w14:paraId="396D18F0">
      <w:pPr>
        <w:widowControl/>
        <w:numPr>
          <w:ilvl w:val="0"/>
          <w:numId w:val="20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科研管理系统、采购系统和资产系统之间如何传递信息？是否完全依靠附件和纸质材料？</w:t>
      </w:r>
    </w:p>
    <w:p w14:paraId="06AB3F52">
      <w:pPr>
        <w:widowControl/>
        <w:numPr>
          <w:ilvl w:val="0"/>
          <w:numId w:val="20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系统或人工审核是否检查重复购置、共享设备可用情况、超范围采购或未验收入库先报销？</w:t>
      </w:r>
    </w:p>
    <w:p w14:paraId="1663E668">
      <w:pPr>
        <w:widowControl/>
        <w:numPr>
          <w:ilvl w:val="0"/>
          <w:numId w:val="20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技术服务、生物化学试剂和实验耗材使用锐竞平台时，验收和出入库分别由谁负责，在哪里留痕？</w:t>
      </w:r>
    </w:p>
    <w:p w14:paraId="6FCD1D04">
      <w:pPr>
        <w:widowControl/>
        <w:numPr>
          <w:ilvl w:val="0"/>
          <w:numId w:val="20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能否提供一条去标识化的设备采购—验收—资产入账流程说明，或一张流程图？</w:t>
      </w:r>
    </w:p>
    <w:p w14:paraId="47562D3D">
      <w:pPr>
        <w:widowControl/>
        <w:spacing w:before="40" w:after="40" w:line="240" w:lineRule="auto"/>
        <w:rPr>
          <w:color w:val="auto"/>
        </w:rPr>
      </w:pPr>
    </w:p>
    <w:p w14:paraId="25EAB08E">
      <w:pPr>
        <w:pStyle w:val="3"/>
        <w:keepNext/>
        <w:rPr>
          <w:color w:val="auto"/>
        </w:rPr>
      </w:pPr>
      <w:r>
        <w:rPr>
          <w:rFonts w:ascii="Calibri" w:hAnsi="Calibri" w:eastAsia="微软雅黑"/>
          <w:color w:val="auto"/>
          <w:sz w:val="32"/>
        </w:rPr>
        <w:t>七、请审计或内部控制岗位回答</w:t>
      </w:r>
    </w:p>
    <w:p w14:paraId="46DBBED3">
      <w:pPr>
        <w:widowControl/>
        <w:numPr>
          <w:ilvl w:val="0"/>
          <w:numId w:val="2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科研项目审计通常在立项、执行、结题还是专项检查时介入？目前更偏事前、事中还是事后？</w:t>
      </w:r>
    </w:p>
    <w:p w14:paraId="0FB7042A">
      <w:pPr>
        <w:widowControl/>
        <w:numPr>
          <w:ilvl w:val="0"/>
          <w:numId w:val="2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审计人员能否直接登录科研管理系统查询，还是需要科技处、财务处导出或提供材料？</w:t>
      </w:r>
    </w:p>
    <w:p w14:paraId="7ACA5BC1">
      <w:pPr>
        <w:widowControl/>
        <w:numPr>
          <w:ilvl w:val="0"/>
          <w:numId w:val="2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科研系统中看到的立项、合同、经费明细和锐竞采购信息，是否足以还原完整业务流程？还必须补哪些系统或纸质证据？</w:t>
      </w:r>
    </w:p>
    <w:p w14:paraId="64AD19FC">
      <w:pPr>
        <w:widowControl/>
        <w:numPr>
          <w:ilvl w:val="0"/>
          <w:numId w:val="2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网银付款和财务凭证如何与科研系统报销单进行关联和核对？</w:t>
      </w:r>
    </w:p>
    <w:p w14:paraId="4CCCB613">
      <w:pPr>
        <w:widowControl/>
        <w:numPr>
          <w:ilvl w:val="0"/>
          <w:numId w:val="2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医院是否定期开展科研经费专项风险评估？是否形成风险清单、书面报告或年度整改计划？</w:t>
      </w:r>
    </w:p>
    <w:p w14:paraId="51A807AD">
      <w:pPr>
        <w:widowControl/>
        <w:numPr>
          <w:ilvl w:val="0"/>
          <w:numId w:val="2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科研经费审计常见问题主要集中在哪些环节？可否提供1条不含人员、科室和项目识别信息的典型问题说明？</w:t>
      </w:r>
    </w:p>
    <w:p w14:paraId="7580DDAB">
      <w:pPr>
        <w:widowControl/>
        <w:numPr>
          <w:ilvl w:val="0"/>
          <w:numId w:val="2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审计发现后，整改责任人、期限、复核、销号和关闭状态记录在哪里？</w:t>
      </w:r>
    </w:p>
    <w:p w14:paraId="187B9CC1">
      <w:pPr>
        <w:widowControl/>
        <w:numPr>
          <w:ilvl w:val="0"/>
          <w:numId w:val="2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是否存在到期提醒、逾期预警和未关闭事项清单？如果没有，当前如何跟踪？</w:t>
      </w:r>
    </w:p>
    <w:p w14:paraId="335DFF0A">
      <w:pPr>
        <w:widowControl/>
        <w:numPr>
          <w:ilvl w:val="0"/>
          <w:numId w:val="2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对包干制项目，哪些风险适合系统前置控制，哪些必须保留人工专业判断？</w:t>
      </w:r>
    </w:p>
    <w:p w14:paraId="18A4D3D6">
      <w:pPr>
        <w:widowControl/>
        <w:numPr>
          <w:ilvl w:val="0"/>
          <w:numId w:val="21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能否提供一份去标识化的审计取证清单、整改台账样式或流程说明？</w:t>
      </w:r>
    </w:p>
    <w:p w14:paraId="67394C6A">
      <w:pPr>
        <w:widowControl/>
        <w:spacing w:before="40" w:after="40" w:line="240" w:lineRule="auto"/>
        <w:rPr>
          <w:color w:val="auto"/>
        </w:rPr>
      </w:pPr>
    </w:p>
    <w:p w14:paraId="600056A6">
      <w:pPr>
        <w:pStyle w:val="3"/>
        <w:keepNext/>
        <w:rPr>
          <w:color w:val="auto"/>
        </w:rPr>
      </w:pPr>
      <w:r>
        <w:rPr>
          <w:rFonts w:ascii="Calibri" w:hAnsi="Calibri" w:eastAsia="微软雅黑"/>
          <w:color w:val="auto"/>
          <w:sz w:val="32"/>
        </w:rPr>
        <w:t>八、请人才工作部回答</w:t>
      </w:r>
    </w:p>
    <w:p w14:paraId="4F7D61BD">
      <w:pPr>
        <w:widowControl/>
        <w:numPr>
          <w:ilvl w:val="0"/>
          <w:numId w:val="22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哪些医院人才项目的科研经费报销由人才工作部审批？</w:t>
      </w:r>
    </w:p>
    <w:p w14:paraId="6EB540EF">
      <w:pPr>
        <w:widowControl/>
        <w:numPr>
          <w:ilvl w:val="0"/>
          <w:numId w:val="22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人才工作部审批的制度依据、金额权限和审核重点是什么？</w:t>
      </w:r>
    </w:p>
    <w:p w14:paraId="5A0AE3F0">
      <w:pPr>
        <w:widowControl/>
        <w:numPr>
          <w:ilvl w:val="0"/>
          <w:numId w:val="22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科研管理系统能否自动识别人才项目并转入人才工作部审批？</w:t>
      </w:r>
    </w:p>
    <w:p w14:paraId="39015B23">
      <w:pPr>
        <w:widowControl/>
        <w:numPr>
          <w:ilvl w:val="0"/>
          <w:numId w:val="22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若项目属性选择错误或人才类别发生变化，如何调整审批路径并留痕？</w:t>
      </w:r>
    </w:p>
    <w:p w14:paraId="5213C37F">
      <w:pPr>
        <w:widowControl/>
        <w:numPr>
          <w:ilvl w:val="0"/>
          <w:numId w:val="22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人才工作部审批后，如何流转至科技处、财务稽核和付款环节？</w:t>
      </w:r>
    </w:p>
    <w:p w14:paraId="253291FD">
      <w:pPr>
        <w:widowControl/>
        <w:numPr>
          <w:ilvl w:val="0"/>
          <w:numId w:val="22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能否提供一张去标识化审批流截图或一份流程说明？</w:t>
      </w:r>
    </w:p>
    <w:p w14:paraId="77C56DDD">
      <w:pPr>
        <w:widowControl/>
        <w:spacing w:before="40" w:after="40" w:line="240" w:lineRule="auto"/>
        <w:rPr>
          <w:color w:val="auto"/>
        </w:rPr>
      </w:pPr>
    </w:p>
    <w:p w14:paraId="7D04DCD2">
      <w:pPr>
        <w:pStyle w:val="3"/>
        <w:keepNext/>
        <w:rPr>
          <w:color w:val="auto"/>
        </w:rPr>
      </w:pPr>
      <w:r>
        <w:rPr>
          <w:rFonts w:ascii="Calibri" w:hAnsi="Calibri" w:eastAsia="微软雅黑"/>
          <w:color w:val="auto"/>
          <w:sz w:val="32"/>
        </w:rPr>
        <w:t>九、请成果转化、合同或法务相关岗位回答</w:t>
      </w:r>
    </w:p>
    <w:p w14:paraId="29E60146">
      <w:pPr>
        <w:widowControl/>
        <w:numPr>
          <w:ilvl w:val="0"/>
          <w:numId w:val="23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科研成果从登记、赋权申请、价值评估、合规审查到合同签订分别由哪些部门负责？</w:t>
      </w:r>
    </w:p>
    <w:p w14:paraId="1E1B6E5D">
      <w:pPr>
        <w:widowControl/>
        <w:numPr>
          <w:ilvl w:val="0"/>
          <w:numId w:val="23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成果转化合同是否在科研管理系统、合同系统或OA中办理？各系统之间是否传递项目信息？</w:t>
      </w:r>
    </w:p>
    <w:p w14:paraId="0260A171">
      <w:pPr>
        <w:widowControl/>
        <w:numPr>
          <w:ilvl w:val="0"/>
          <w:numId w:val="23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是否设置关联交易、利益冲突、回避、负面清单和禁止事项审查？</w:t>
      </w:r>
    </w:p>
    <w:p w14:paraId="79629CDA">
      <w:pPr>
        <w:widowControl/>
        <w:numPr>
          <w:ilvl w:val="0"/>
          <w:numId w:val="23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价值评估、院内集体决策、公示和协议签署分别如何留痕？</w:t>
      </w:r>
    </w:p>
    <w:p w14:paraId="53CCB35D">
      <w:pPr>
        <w:widowControl/>
        <w:numPr>
          <w:ilvl w:val="0"/>
          <w:numId w:val="23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收益分配比例、发放条件和后续跟踪由什么制度规定？</w:t>
      </w:r>
    </w:p>
    <w:p w14:paraId="584A948D">
      <w:pPr>
        <w:widowControl/>
        <w:numPr>
          <w:ilvl w:val="0"/>
          <w:numId w:val="23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成果转化收入是否能关联原科研项目、知识产权和合同，并进入财务核算？</w:t>
      </w:r>
    </w:p>
    <w:p w14:paraId="459C150B">
      <w:pPr>
        <w:widowControl/>
        <w:numPr>
          <w:ilvl w:val="0"/>
          <w:numId w:val="23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成果转化过程中最容易出现争议或退回的事项是什么？</w:t>
      </w:r>
    </w:p>
    <w:p w14:paraId="5D9787BB">
      <w:pPr>
        <w:widowControl/>
        <w:numPr>
          <w:ilvl w:val="0"/>
          <w:numId w:val="23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能否提供去标识化流程图、合同模板、合规审查表或收益分配说明？</w:t>
      </w:r>
    </w:p>
    <w:p w14:paraId="2FECDF9E">
      <w:pPr>
        <w:widowControl/>
        <w:spacing w:before="40" w:after="40" w:line="240" w:lineRule="auto"/>
        <w:rPr>
          <w:color w:val="auto"/>
        </w:rPr>
      </w:pPr>
    </w:p>
    <w:p w14:paraId="57231559">
      <w:pPr>
        <w:pStyle w:val="3"/>
        <w:keepNext/>
        <w:rPr>
          <w:color w:val="auto"/>
        </w:rPr>
      </w:pPr>
      <w:r>
        <w:rPr>
          <w:rFonts w:ascii="Calibri" w:hAnsi="Calibri" w:eastAsia="微软雅黑"/>
          <w:color w:val="auto"/>
          <w:sz w:val="32"/>
        </w:rPr>
        <w:t>十、请科研人员补充的体验性问题</w:t>
      </w:r>
    </w:p>
    <w:p w14:paraId="6F655409">
      <w:pPr>
        <w:widowControl/>
        <w:spacing w:before="0" w:after="12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这部分用于解释问卷中的“不会用/不敢用”，不要求回答系统技术细节。</w:t>
      </w:r>
    </w:p>
    <w:p w14:paraId="0D0F684B">
      <w:pPr>
        <w:widowControl/>
        <w:numPr>
          <w:ilvl w:val="0"/>
          <w:numId w:val="24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实际使用包干制经费时，最不清楚的是支出范围、报销材料、采购流程、劳务绩效、经费调剂还是结题结余？</w:t>
      </w:r>
    </w:p>
    <w:p w14:paraId="62FD5600">
      <w:pPr>
        <w:widowControl/>
        <w:numPr>
          <w:ilvl w:val="0"/>
          <w:numId w:val="24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哪些情形最容易被退回？退回原因是否清楚、是否容易修改？</w:t>
      </w:r>
    </w:p>
    <w:p w14:paraId="4ED41E4E">
      <w:pPr>
        <w:widowControl/>
        <w:numPr>
          <w:ilvl w:val="0"/>
          <w:numId w:val="24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线上上传后再线下送交材料，对科研工作造成的主要影响是什么？</w:t>
      </w:r>
    </w:p>
    <w:p w14:paraId="3F83CB48">
      <w:pPr>
        <w:widowControl/>
        <w:numPr>
          <w:ilvl w:val="0"/>
          <w:numId w:val="24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报销前能否获得统一、明确、可执行的咨询？通常向谁咨询？</w:t>
      </w:r>
    </w:p>
    <w:p w14:paraId="784A63E7">
      <w:pPr>
        <w:widowControl/>
        <w:numPr>
          <w:ilvl w:val="0"/>
          <w:numId w:val="24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不同部门对同一事项是否出现过不同解释？请只描述事项类型，不提供人员姓名。</w:t>
      </w:r>
    </w:p>
    <w:p w14:paraId="64097A16">
      <w:pPr>
        <w:widowControl/>
        <w:numPr>
          <w:ilvl w:val="0"/>
          <w:numId w:val="24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最希望增加哪三类支持：负面清单、常见问题库、材料清单、系统提示、科研财务助理、线上咨询或其他？</w:t>
      </w:r>
    </w:p>
    <w:p w14:paraId="45464188">
      <w:pPr>
        <w:widowControl/>
        <w:spacing w:before="40" w:after="40" w:line="240" w:lineRule="auto"/>
        <w:rPr>
          <w:color w:val="auto"/>
        </w:rPr>
      </w:pPr>
    </w:p>
    <w:p w14:paraId="53BDEEB1">
      <w:pPr>
        <w:pStyle w:val="3"/>
        <w:keepNext/>
        <w:rPr>
          <w:color w:val="auto"/>
        </w:rPr>
      </w:pPr>
      <w:r>
        <w:rPr>
          <w:rFonts w:ascii="Calibri" w:hAnsi="Calibri" w:eastAsia="微软雅黑"/>
          <w:color w:val="auto"/>
          <w:sz w:val="32"/>
        </w:rPr>
        <w:t>十一、可直接转发的通用说明</w:t>
      </w:r>
    </w:p>
    <w:p w14:paraId="777A2832">
      <w:pPr>
        <w:widowControl/>
        <w:spacing w:before="0" w:after="12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您好，我们正在为院内课题《基于内部控制视角的公立医院科研经费包干制落地研究》（CW202611）补充制度、流程和信息系统证据。前期已完成69份匿名问卷、14份制度整理和第一轮流程核实。</w:t>
      </w:r>
    </w:p>
    <w:p w14:paraId="72B8B556">
      <w:pPr>
        <w:widowControl/>
        <w:spacing w:before="0" w:after="12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现有问题已按部门职责分组，不需要您回答全部内容，只请回答自己熟悉的部分；不清楚的事项可以直接写“不清楚”或建议咨询的部门。若文字说明不方便，也可以提供去标识化流程图、页面截图、表单样式或制度名称。材料仅用于课题结题和论文综合分析，不记录个人姓名，不披露具体科室、项目和敏感业务信息。</w:t>
      </w:r>
    </w:p>
    <w:p w14:paraId="7E841C0C">
      <w:pPr>
        <w:pStyle w:val="3"/>
        <w:keepNext/>
        <w:rPr>
          <w:color w:val="auto"/>
        </w:rPr>
      </w:pPr>
      <w:r>
        <w:rPr>
          <w:rFonts w:ascii="Calibri" w:hAnsi="Calibri" w:eastAsia="微软雅黑"/>
          <w:color w:val="auto"/>
          <w:sz w:val="32"/>
        </w:rPr>
        <w:t>十二、分部门简短转发话术</w:t>
      </w:r>
    </w:p>
    <w:p w14:paraId="2443D162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发科技处/科研管理岗位</w:t>
      </w:r>
    </w:p>
    <w:p w14:paraId="57D7651B">
      <w:pPr>
        <w:widowControl/>
        <w:spacing w:before="0" w:after="12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您好，想请您协助核实包干制项目的制度和科研系统办理口径，重点包括：2020科研管理及横向项目办法是否仍有效；包干制属性、3万元审批和人才项目审批如何设置；经费调剂、报销退回、项目到期、结题决算和结余处置如何办理。只回答熟悉部分即可，如能提供去标识化流程截图或现行文件名称更好。</w:t>
      </w:r>
    </w:p>
    <w:p w14:paraId="610D2E5B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发财务处</w:t>
      </w:r>
    </w:p>
    <w:p w14:paraId="36CFDF21">
      <w:pPr>
        <w:widowControl/>
        <w:spacing w:before="0" w:after="12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您好，想请您协助核实科研项目从立项建账到付款记账的实际衔接，重点包括：科研岗位录入后财务如何建账和形成可用额度；电子与纸质报销材料如何核对；网银付款、银行回单和财务凭证如何关联；付款状态是否回到科研系统；结题决算和审计取证如何办理。只回答熟悉部分即可。</w:t>
      </w:r>
    </w:p>
    <w:p w14:paraId="05554FF1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发信息中心/系统管理员</w:t>
      </w:r>
    </w:p>
    <w:p w14:paraId="3880DA2B">
      <w:pPr>
        <w:widowControl/>
        <w:spacing w:before="0" w:after="12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您好，想请您协助核实科研管理系统的数据来源和控制功能，重点包括：科研系统显示的锐竞采购信息如何形成；与财务、网银、资产等系统是否存在接口或文件交换；包干制属性、金额审批、余额提醒、驳回原因、操作日志、付款状态和审计导出如何设置。如能提供去标识化页面或字段说明更好。</w:t>
      </w:r>
    </w:p>
    <w:p w14:paraId="267DD58E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发采购或资产岗位</w:t>
      </w:r>
    </w:p>
    <w:p w14:paraId="6EAD8020">
      <w:pPr>
        <w:widowControl/>
        <w:spacing w:before="0" w:after="12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您好，想请您协助核实科研项目一般设备采购、验收和资产入账流程，重点包括：是否走锐竞平台、按什么规则分流、使用哪些系统、需要哪些材料、资产编号如何形成，以及是否存在重复录入或系统提醒。只回答熟悉部分即可。</w:t>
      </w:r>
    </w:p>
    <w:p w14:paraId="6F43346F">
      <w:pPr>
        <w:pStyle w:val="4"/>
        <w:rPr>
          <w:color w:val="auto"/>
        </w:rPr>
      </w:pPr>
      <w:r>
        <w:rPr>
          <w:rFonts w:ascii="Calibri" w:hAnsi="Calibri" w:eastAsia="微软雅黑"/>
          <w:color w:val="auto"/>
          <w:sz w:val="26"/>
        </w:rPr>
        <w:t>发审计/内控岗位</w:t>
      </w:r>
    </w:p>
    <w:p w14:paraId="04303177">
      <w:pPr>
        <w:widowControl/>
        <w:spacing w:before="0" w:after="12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您好，想请您协助核实科研经费审计和整改闭环，重点包括：审计何时介入、能否直接查询科研系统、还需哪些网银或原始凭证、常见风险点、风险评估是否定期开展，以及整改责任、期限、复核和销号在哪里留痕。可只提供去标识化说明。</w:t>
      </w:r>
    </w:p>
    <w:p w14:paraId="55E4B5FB">
      <w:pPr>
        <w:pStyle w:val="3"/>
        <w:keepNext/>
        <w:rPr>
          <w:color w:val="auto"/>
        </w:rPr>
      </w:pPr>
      <w:r>
        <w:rPr>
          <w:rFonts w:ascii="Calibri" w:hAnsi="Calibri" w:eastAsia="微软雅黑"/>
          <w:color w:val="auto"/>
          <w:sz w:val="32"/>
        </w:rPr>
        <w:t>十三、资料处理要求</w:t>
      </w:r>
    </w:p>
    <w:p w14:paraId="645295ED">
      <w:pPr>
        <w:widowControl/>
        <w:numPr>
          <w:ilvl w:val="0"/>
          <w:numId w:val="25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截图前遮盖姓名、工号、手机号、身份证号、银行卡号、项目名称、合同相对方和可识别科室。</w:t>
      </w:r>
    </w:p>
    <w:p w14:paraId="54B1B550">
      <w:pPr>
        <w:widowControl/>
        <w:numPr>
          <w:ilvl w:val="0"/>
          <w:numId w:val="25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原始截图和原始流程材料限课题组受限留存；日常分析优先使用去标识化副本。</w:t>
      </w:r>
    </w:p>
    <w:p w14:paraId="3FBEAF62">
      <w:pPr>
        <w:widowControl/>
        <w:numPr>
          <w:ilvl w:val="0"/>
          <w:numId w:val="25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对“听说”“一般是”“我没遇到过”的回答，记录为经验性线索，不直接写成全院统一流程。</w:t>
      </w:r>
    </w:p>
    <w:p w14:paraId="5365E1F4">
      <w:pPr>
        <w:widowControl/>
        <w:numPr>
          <w:ilvl w:val="0"/>
          <w:numId w:val="25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系统“能看到某项信息”不等于系统自动互联，必须继续核实信息来自接口、人工上传、跳转还是导入。</w:t>
      </w:r>
    </w:p>
    <w:p w14:paraId="3AE8D9B5">
      <w:pPr>
        <w:widowControl/>
        <w:numPr>
          <w:ilvl w:val="0"/>
          <w:numId w:val="25"/>
        </w:numPr>
        <w:spacing w:before="0" w:after="80" w:line="300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只有经制度、流程材料、系统截图或不同岗位访谈交叉验证后，才将结论写入正式报告。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212FF">
    <w:pPr>
      <w:pStyle w:val="24"/>
      <w:jc w:val="right"/>
    </w:pPr>
    <w:r>
      <w:rPr>
        <w:rFonts w:ascii="Calibri" w:hAnsi="Calibri" w:eastAsia="微软雅黑"/>
        <w:color w:val="5F6B76"/>
        <w:sz w:val="18"/>
      </w:rPr>
      <w:t xml:space="preserve">第 </w:t>
    </w:r>
    <w:r>
      <w:rPr>
        <w:rFonts w:ascii="Calibri" w:hAnsi="Calibri" w:eastAsia="微软雅黑"/>
        <w:color w:val="5F6B76"/>
        <w:sz w:val="18"/>
      </w:rPr>
      <w:fldChar w:fldCharType="begin"/>
    </w:r>
    <w:r>
      <w:rPr>
        <w:rFonts w:ascii="Calibri" w:hAnsi="Calibri" w:eastAsia="微软雅黑"/>
        <w:color w:val="5F6B76"/>
        <w:sz w:val="18"/>
      </w:rPr>
      <w:instrText xml:space="preserve"> PAGE </w:instrText>
    </w:r>
    <w:r>
      <w:rPr>
        <w:rFonts w:ascii="Calibri" w:hAnsi="Calibri" w:eastAsia="微软雅黑"/>
        <w:color w:val="5F6B76"/>
        <w:sz w:val="18"/>
      </w:rPr>
      <w:fldChar w:fldCharType="end"/>
    </w:r>
    <w:r>
      <w:rPr>
        <w:rFonts w:ascii="Calibri" w:hAnsi="Calibri" w:eastAsia="微软雅黑"/>
        <w:color w:val="5F6B7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96497">
    <w:pPr>
      <w:pStyle w:val="25"/>
      <w:spacing w:after="0"/>
      <w:jc w:val="left"/>
    </w:pPr>
    <w:r>
      <w:rPr>
        <w:rFonts w:ascii="Calibri" w:hAnsi="Calibri" w:eastAsia="微软雅黑"/>
        <w:b/>
        <w:color w:val="5F6B76"/>
        <w:sz w:val="18"/>
      </w:rPr>
      <w:t>吴慧课题｜待咨询问题一揽子清单</w:t>
    </w:r>
    <w:r>
      <w:rPr>
        <w:rFonts w:ascii="Calibri" w:hAnsi="Calibri" w:eastAsia="微软雅黑"/>
        <w:color w:val="5F6B76"/>
        <w:sz w:val="18"/>
      </w:rPr>
      <w:t xml:space="preserve">                                             CW202611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2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4">
    <w:nsid w:val="C8879AEF"/>
    <w:multiLevelType w:val="singleLevel"/>
    <w:tmpl w:val="C8879AEF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5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6">
    <w:nsid w:val="D7F9FE59"/>
    <w:multiLevelType w:val="singleLevel"/>
    <w:tmpl w:val="D7F9FE59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7">
    <w:nsid w:val="DCBA6B53"/>
    <w:multiLevelType w:val="singleLevel"/>
    <w:tmpl w:val="DCBA6B53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8">
    <w:nsid w:val="F4B5D9F5"/>
    <w:multiLevelType w:val="singleLevel"/>
    <w:tmpl w:val="F4B5D9F5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9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0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1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2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3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4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16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17">
    <w:nsid w:val="03D62ECE"/>
    <w:multiLevelType w:val="singleLevel"/>
    <w:tmpl w:val="03D62ECE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18">
    <w:nsid w:val="2470EC97"/>
    <w:multiLevelType w:val="singleLevel"/>
    <w:tmpl w:val="2470EC97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19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20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21">
    <w:nsid w:val="4D4DC07F"/>
    <w:multiLevelType w:val="singleLevel"/>
    <w:tmpl w:val="4D4DC07F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2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23">
    <w:nsid w:val="5A241D34"/>
    <w:multiLevelType w:val="singleLevel"/>
    <w:tmpl w:val="5A241D34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24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num w:numId="1">
    <w:abstractNumId w:val="10"/>
  </w:num>
  <w:num w:numId="2">
    <w:abstractNumId w:val="13"/>
  </w:num>
  <w:num w:numId="3">
    <w:abstractNumId w:val="14"/>
  </w:num>
  <w:num w:numId="4">
    <w:abstractNumId w:val="11"/>
  </w:num>
  <w:num w:numId="5">
    <w:abstractNumId w:val="9"/>
  </w:num>
  <w:num w:numId="6">
    <w:abstractNumId w:val="12"/>
  </w:num>
  <w:num w:numId="7">
    <w:abstractNumId w:val="15"/>
  </w:num>
  <w:num w:numId="8">
    <w:abstractNumId w:val="5"/>
  </w:num>
  <w:num w:numId="9">
    <w:abstractNumId w:val="22"/>
  </w:num>
  <w:num w:numId="10">
    <w:abstractNumId w:val="3"/>
  </w:num>
  <w:num w:numId="11">
    <w:abstractNumId w:val="2"/>
  </w:num>
  <w:num w:numId="12">
    <w:abstractNumId w:val="17"/>
  </w:num>
  <w:num w:numId="13">
    <w:abstractNumId w:val="19"/>
  </w:num>
  <w:num w:numId="14">
    <w:abstractNumId w:val="24"/>
  </w:num>
  <w:num w:numId="15">
    <w:abstractNumId w:val="16"/>
  </w:num>
  <w:num w:numId="16">
    <w:abstractNumId w:val="0"/>
  </w:num>
  <w:num w:numId="17">
    <w:abstractNumId w:val="20"/>
  </w:num>
  <w:num w:numId="18">
    <w:abstractNumId w:val="23"/>
  </w:num>
  <w:num w:numId="19">
    <w:abstractNumId w:val="4"/>
  </w:num>
  <w:num w:numId="20">
    <w:abstractNumId w:val="21"/>
  </w:num>
  <w:num w:numId="21">
    <w:abstractNumId w:val="8"/>
  </w:num>
  <w:num w:numId="22">
    <w:abstractNumId w:val="18"/>
  </w:num>
  <w:num w:numId="23">
    <w:abstractNumId w:val="7"/>
  </w:num>
  <w:num w:numId="24">
    <w:abstractNumId w:val="6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62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6294</Words>
  <Characters>6388</Characters>
  <Lines>0</Lines>
  <Paragraphs>0</Paragraphs>
  <TotalTime>6</TotalTime>
  <ScaleCrop>false</ScaleCrop>
  <LinksUpToDate>false</LinksUpToDate>
  <CharactersWithSpaces>6397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吴慧课题组</dc:creator>
  <dc:description>generated by python-docx</dc:description>
  <cp:keywords>科研经费包干制, 咨询清单, 流程核实, 系统证据</cp:keywords>
  <cp:lastModifiedBy>Zegna</cp:lastModifiedBy>
  <dcterms:modified xsi:type="dcterms:W3CDTF">2026-07-27T07:41:24Z</dcterms:modified>
  <dc:subject>吴慧课题流程、系统与制度补证问题</dc:subject>
  <dc:title>待咨询问题一揽子清单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eyJoZGlkIjoiMGQxYTNlOTYwZDZjMmRiY2I2ZjY1ZmEwZWMzMzg2M2YiLCJ1c2VySWQiOiIzNDI2Nzg5MDUifQ==</vt:lpwstr>
  </property>
  <property fmtid="{D5CDD505-2E9C-101B-9397-08002B2CF9AE}" pid="3" name="KSOProductBuildVer">
    <vt:lpwstr>2052-12.1.0.26884</vt:lpwstr>
  </property>
  <property fmtid="{D5CDD505-2E9C-101B-9397-08002B2CF9AE}" pid="4" name="ICV">
    <vt:lpwstr>9A74960481B3485D8C44C4CAB8798B82_12</vt:lpwstr>
  </property>
</Properties>
</file>