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0"/>
        <w:jc w:val="center"/>
      </w:pPr>
      <w:r>
        <w:rPr>
          <w:rFonts w:ascii="Aptos" w:hAnsi="Aptos"/>
          <w:b/>
          <w:color w:val="18C29C"/>
          <w:sz w:val="22"/>
        </w:rPr>
        <w:t>HAN GLOBAL</w:t>
      </w:r>
    </w:p>
    <w:p>
      <w:pPr>
        <w:spacing w:after="40"/>
        <w:jc w:val="center"/>
      </w:pPr>
      <w:r>
        <w:rPr>
          <w:rFonts w:ascii="Aptos" w:hAnsi="Aptos"/>
          <w:b/>
          <w:color w:val="0E1621"/>
          <w:sz w:val="48"/>
        </w:rPr>
        <w:t>Dashboard Enhancement Brief</w:t>
      </w:r>
    </w:p>
    <w:p>
      <w:pPr>
        <w:spacing w:after="160"/>
        <w:jc w:val="center"/>
      </w:pPr>
      <w:r>
        <w:rPr>
          <w:rFonts w:ascii="Aptos" w:hAnsi="Aptos"/>
          <w:b w:val="0"/>
          <w:color w:val="667085"/>
          <w:sz w:val="21"/>
        </w:rPr>
        <w:t>Phase 1: Internal Sales Prioritization</w:t>
      </w:r>
    </w:p>
    <w:tbl>
      <w:tblPr>
        <w:tblW w:type="auto" w:w="0"/>
        <w:jc w:val="center"/>
        <w:tblLayout w:type="fixed"/>
        <w:tblLook w:firstColumn="1" w:firstRow="1" w:lastColumn="0" w:lastRow="0" w:noHBand="0" w:noVBand="1" w:val="04A0"/>
      </w:tblPr>
      <w:tblGrid>
        <w:gridCol w:w="173"/>
        <w:gridCol w:w="9864"/>
      </w:tblGrid>
      <w:tr>
        <w:tc>
          <w:tcPr>
            <w:tcW w:type="dxa" w:w="5184"/>
            <w:shd w:fill="18C29C"/>
          </w:tcPr>
          <w:p/>
        </w:tc>
        <w:tc>
          <w:tcPr>
            <w:tcW w:type="dxa" w:w="5184"/>
            <w:shd w:fill="EAF8F4"/>
          </w:tcPr>
          <w:p>
            <w:r>
              <w:rPr>
                <w:rFonts w:ascii="Aptos" w:hAnsi="Aptos"/>
                <w:b/>
                <w:color w:val="0E1621"/>
                <w:sz w:val="20"/>
              </w:rPr>
              <w:t>Objective</w:t>
            </w:r>
          </w:p>
          <w:p>
            <w:pPr>
              <w:spacing w:after="0"/>
            </w:pPr>
            <w:r>
              <w:rPr>
                <w:rFonts w:ascii="Aptos" w:hAnsi="Aptos"/>
                <w:b w:val="0"/>
                <w:color w:val="202733"/>
                <w:sz w:val="19"/>
              </w:rPr>
              <w:t>Improve the current dashboard without replacing it. The goal is to combine the system data Han Global already produces with a simple sales-action layer that tells the internal team what to focus on next.</w:t>
            </w:r>
          </w:p>
        </w:tc>
      </w:tr>
    </w:tbl>
    <w:p>
      <w:pPr>
        <w:spacing w:before="160" w:after="60"/>
      </w:pPr>
      <w:r>
        <w:rPr>
          <w:rFonts w:ascii="Aptos" w:hAnsi="Aptos"/>
          <w:b/>
          <w:color w:val="0E1621"/>
          <w:sz w:val="26"/>
        </w:rPr>
        <w:t>Why the Current Dashboard Was Designed This Way</w:t>
      </w:r>
    </w:p>
    <w:p>
      <w:pPr>
        <w:spacing w:after="100" w:line="259" w:lineRule="auto"/>
      </w:pPr>
      <w:r>
        <w:rPr>
          <w:rFonts w:ascii="Aptos" w:hAnsi="Aptos"/>
          <w:b w:val="0"/>
          <w:color w:val="202733"/>
          <w:sz w:val="20"/>
        </w:rPr>
        <w:t>The current dashboard makes sense for the original scope. Owais was asked to build a lead-intelligence engine, so the dashboard was designed to show whether the system is working: how many leads were sourced, enriched, qualified, scored, and moved through the pipeline. From a development and operations perspective, this is the correct foundation because it helps identify where the system is performing well and where leads or integrations are failing.</w:t>
      </w:r>
    </w:p>
    <w:p>
      <w:pPr>
        <w:spacing w:before="160" w:after="60"/>
      </w:pPr>
      <w:r>
        <w:rPr>
          <w:rFonts w:ascii="Aptos" w:hAnsi="Aptos"/>
          <w:b/>
          <w:color w:val="0E1621"/>
          <w:sz w:val="26"/>
        </w:rPr>
        <w:t>Current State</w:t>
      </w:r>
    </w:p>
    <w:p>
      <w:pPr>
        <w:spacing w:after="100" w:line="259" w:lineRule="auto"/>
      </w:pPr>
      <w:r>
        <w:rPr>
          <w:rFonts w:ascii="Aptos" w:hAnsi="Aptos"/>
          <w:b w:val="0"/>
          <w:color w:val="202733"/>
          <w:sz w:val="20"/>
        </w:rPr>
        <w:t>Han Global already captures valuable information about lead sourcing, enrichment, qualification, decision-makers, contact details, AI insights, campaign activity, and pipeline movement. That information is not useless and should not be removed. It explains what the system did and how each lead reached its current position.</w:t>
      </w:r>
    </w:p>
    <w:p>
      <w:pPr>
        <w:spacing w:before="160" w:after="60"/>
      </w:pPr>
      <w:r>
        <w:rPr>
          <w:rFonts w:ascii="Aptos" w:hAnsi="Aptos"/>
          <w:b/>
          <w:color w:val="0E1621"/>
          <w:sz w:val="26"/>
        </w:rPr>
        <w:t>The Gap</w:t>
      </w:r>
    </w:p>
    <w:p>
      <w:pPr>
        <w:spacing w:after="100" w:line="259" w:lineRule="auto"/>
      </w:pPr>
      <w:r>
        <w:rPr>
          <w:rFonts w:ascii="Aptos" w:hAnsi="Aptos"/>
          <w:b w:val="0"/>
          <w:color w:val="202733"/>
          <w:sz w:val="20"/>
        </w:rPr>
        <w:t>Now that Han Global is preparing to use the leads internally, the team needs more than system monitoring. The dashboard does not yet make it immediately clear which leads deserve attention, who owns them, why they matter, or what action should happen next. Team members still have to open individual records, read through the information, and decide where to begin.</w:t>
      </w:r>
    </w:p>
    <w:p>
      <w:pPr>
        <w:spacing w:before="160" w:after="60"/>
      </w:pPr>
      <w:r>
        <w:rPr>
          <w:rFonts w:ascii="Aptos" w:hAnsi="Aptos"/>
          <w:b/>
          <w:color w:val="0E1621"/>
          <w:sz w:val="26"/>
        </w:rPr>
        <w:t>Future State</w:t>
      </w:r>
    </w:p>
    <w:p>
      <w:pPr>
        <w:spacing w:after="100" w:line="259" w:lineRule="auto"/>
      </w:pPr>
      <w:r>
        <w:rPr>
          <w:rFonts w:ascii="Aptos" w:hAnsi="Aptos"/>
          <w:b w:val="0"/>
          <w:color w:val="202733"/>
          <w:sz w:val="20"/>
        </w:rPr>
        <w:t>The best approach is to combine both layers. The existing dashboard data should remain because it shows what happened to each lead. A new sales-action layer should sit above it and show what the team should do next. Together, these two views create a complete picture from lead acquisition through internal sales execution.</w:t>
      </w:r>
    </w:p>
    <w:tbl>
      <w:tblPr>
        <w:tblW w:type="auto" w:w="0"/>
        <w:jc w:val="center"/>
        <w:tblLayout w:type="fixed"/>
        <w:tblLook w:firstColumn="1" w:firstRow="1" w:lastColumn="0" w:lastRow="0" w:noHBand="0" w:noVBand="1" w:val="04A0"/>
      </w:tblPr>
      <w:tblGrid>
        <w:gridCol w:w="5184"/>
        <w:gridCol w:w="5184"/>
      </w:tblGrid>
      <w:tr>
        <w:tc>
          <w:tcPr>
            <w:tcW w:type="dxa" w:w="5184"/>
            <w:shd w:fill="F4F6F8"/>
            <w:tcBorders>
              <w:top w:val="single" w:sz="3" w:color="D8DEE8"/>
              <w:left w:val="single" w:sz="3" w:color="D8DEE8"/>
              <w:bottom w:val="single" w:sz="3" w:color="D8DEE8"/>
              <w:right w:val="single" w:sz="3" w:color="D8DEE8"/>
            </w:tcBorders>
            <w:vAlign w:val="center"/>
          </w:tcPr>
          <w:p>
            <w:r>
              <w:rPr>
                <w:rFonts w:ascii="Aptos" w:hAnsi="Aptos"/>
                <w:b/>
                <w:color w:val="5F6BFF"/>
                <w:sz w:val="18"/>
              </w:rPr>
              <w:t>SEND TODAY</w:t>
            </w:r>
          </w:p>
          <w:p>
            <w:pPr>
              <w:spacing w:after="0"/>
            </w:pPr>
            <w:r>
              <w:rPr>
                <w:rFonts w:ascii="Aptos" w:hAnsi="Aptos"/>
                <w:b w:val="0"/>
                <w:color w:val="202733"/>
                <w:sz w:val="17"/>
              </w:rPr>
              <w:t>Qualified, contact-ready leads with the correct decision-maker and verified email.</w:t>
            </w:r>
          </w:p>
        </w:tc>
        <w:tc>
          <w:tcPr>
            <w:tcW w:type="dxa" w:w="5184"/>
            <w:shd w:fill="F4F6F8"/>
            <w:tcBorders>
              <w:top w:val="single" w:sz="3" w:color="D8DEE8"/>
              <w:left w:val="single" w:sz="3" w:color="D8DEE8"/>
              <w:bottom w:val="single" w:sz="3" w:color="D8DEE8"/>
              <w:right w:val="single" w:sz="3" w:color="D8DEE8"/>
            </w:tcBorders>
            <w:vAlign w:val="center"/>
          </w:tcPr>
          <w:p>
            <w:r>
              <w:rPr>
                <w:rFonts w:ascii="Aptos" w:hAnsi="Aptos"/>
                <w:b/>
                <w:color w:val="5F6BFF"/>
                <w:sz w:val="18"/>
              </w:rPr>
              <w:t>FOLLOW UP TODAY</w:t>
            </w:r>
          </w:p>
          <w:p>
            <w:pPr>
              <w:spacing w:after="0"/>
            </w:pPr>
            <w:r>
              <w:rPr>
                <w:rFonts w:ascii="Aptos" w:hAnsi="Aptos"/>
                <w:b w:val="0"/>
                <w:color w:val="202733"/>
                <w:sz w:val="17"/>
              </w:rPr>
              <w:t>Leads already contacted with a follow-up due today or overdue.</w:t>
            </w:r>
          </w:p>
        </w:tc>
      </w:tr>
      <w:tr>
        <w:tc>
          <w:tcPr>
            <w:tcW w:type="dxa" w:w="5184"/>
            <w:shd w:fill="F4F6F8"/>
            <w:tcBorders>
              <w:top w:val="single" w:sz="3" w:color="D8DEE8"/>
              <w:left w:val="single" w:sz="3" w:color="D8DEE8"/>
              <w:bottom w:val="single" w:sz="3" w:color="D8DEE8"/>
              <w:right w:val="single" w:sz="3" w:color="D8DEE8"/>
            </w:tcBorders>
            <w:vAlign w:val="center"/>
          </w:tcPr>
          <w:p>
            <w:r>
              <w:rPr>
                <w:rFonts w:ascii="Aptos" w:hAnsi="Aptos"/>
                <w:b/>
                <w:color w:val="18C29C"/>
                <w:sz w:val="18"/>
              </w:rPr>
              <w:t>MEETINGS / OPPORTUNITIES</w:t>
            </w:r>
          </w:p>
          <w:p>
            <w:pPr>
              <w:spacing w:after="0"/>
            </w:pPr>
            <w:r>
              <w:rPr>
                <w:rFonts w:ascii="Aptos" w:hAnsi="Aptos"/>
                <w:b w:val="0"/>
                <w:color w:val="202733"/>
                <w:sz w:val="17"/>
              </w:rPr>
              <w:t>Active conversations, booked meetings, proposals, or open opportunities.</w:t>
            </w:r>
          </w:p>
        </w:tc>
        <w:tc>
          <w:tcPr>
            <w:tcW w:type="dxa" w:w="5184"/>
            <w:shd w:fill="F4F6F8"/>
            <w:tcBorders>
              <w:top w:val="single" w:sz="3" w:color="D8DEE8"/>
              <w:left w:val="single" w:sz="3" w:color="D8DEE8"/>
              <w:bottom w:val="single" w:sz="3" w:color="D8DEE8"/>
              <w:right w:val="single" w:sz="3" w:color="D8DEE8"/>
            </w:tcBorders>
            <w:vAlign w:val="center"/>
          </w:tcPr>
          <w:p>
            <w:r>
              <w:rPr>
                <w:rFonts w:ascii="Aptos" w:hAnsi="Aptos"/>
                <w:b/>
                <w:color w:val="18C29C"/>
                <w:sz w:val="18"/>
              </w:rPr>
              <w:t>NEEDS RESEARCH</w:t>
            </w:r>
          </w:p>
          <w:p>
            <w:pPr>
              <w:spacing w:after="0"/>
            </w:pPr>
            <w:r>
              <w:rPr>
                <w:rFonts w:ascii="Aptos" w:hAnsi="Aptos"/>
                <w:b w:val="0"/>
                <w:color w:val="202733"/>
                <w:sz w:val="17"/>
              </w:rPr>
              <w:t>Strong-fit companies missing a verified contact, email, or required evidence.</w:t>
            </w:r>
          </w:p>
        </w:tc>
      </w:tr>
    </w:tbl>
    <w:p>
      <w:pPr>
        <w:spacing w:before="160" w:after="60"/>
      </w:pPr>
      <w:r>
        <w:rPr>
          <w:rFonts w:ascii="Aptos" w:hAnsi="Aptos"/>
          <w:b/>
          <w:color w:val="0E1621"/>
          <w:sz w:val="26"/>
        </w:rPr>
        <w:t>How Nexus Strengthens the Dashboard</w:t>
      </w:r>
    </w:p>
    <w:p>
      <w:pPr>
        <w:spacing w:after="100" w:line="259" w:lineRule="auto"/>
      </w:pPr>
      <w:r>
        <w:rPr>
          <w:rFonts w:ascii="Aptos" w:hAnsi="Aptos"/>
          <w:b w:val="0"/>
          <w:color w:val="202733"/>
          <w:sz w:val="20"/>
        </w:rPr>
        <w:t>Nexus should make the prioritization richer by contributing company revenue, employee count, industry, company description, decision-maker title, verified work email, and other firmographic information. Han Global should use this data to improve priority, opportunity assessment, and recommended next action. The team should not be forced to interpret raw Nexus fields manually.</w:t>
      </w:r>
    </w:p>
    <w:p>
      <w:pPr>
        <w:spacing w:before="160" w:after="60"/>
      </w:pPr>
      <w:r>
        <w:rPr>
          <w:rFonts w:ascii="Aptos" w:hAnsi="Aptos"/>
          <w:b/>
          <w:color w:val="0E1621"/>
          <w:sz w:val="26"/>
        </w:rPr>
        <w:t>Phase 1 Dashboard Structure</w:t>
      </w:r>
    </w:p>
    <w:p>
      <w:pPr>
        <w:pStyle w:val="ListBullet"/>
        <w:spacing w:after="20"/>
        <w:ind w:left="317" w:hanging="173"/>
      </w:pPr>
      <w:r>
        <w:rPr>
          <w:rFonts w:ascii="Aptos" w:hAnsi="Aptos"/>
          <w:b w:val="0"/>
          <w:color w:val="202733"/>
          <w:sz w:val="18"/>
        </w:rPr>
        <w:t>Sales Action Center at the top: Send Today, Follow Up Today, Meetings / Opportunities, and Needs Research.</w:t>
      </w:r>
    </w:p>
    <w:p>
      <w:pPr>
        <w:pStyle w:val="ListBullet"/>
        <w:spacing w:after="20"/>
        <w:ind w:left="317" w:hanging="173"/>
      </w:pPr>
      <w:r>
        <w:rPr>
          <w:rFonts w:ascii="Aptos" w:hAnsi="Aptos"/>
          <w:b w:val="0"/>
          <w:color w:val="202733"/>
          <w:sz w:val="18"/>
        </w:rPr>
        <w:t>Ranked priority lead list showing company, decision-maker, why now, recommended service, next action, owner, due date, and sales status.</w:t>
      </w:r>
    </w:p>
    <w:p>
      <w:pPr>
        <w:pStyle w:val="ListBullet"/>
        <w:spacing w:after="20"/>
        <w:ind w:left="317" w:hanging="173"/>
      </w:pPr>
      <w:r>
        <w:rPr>
          <w:rFonts w:ascii="Aptos" w:hAnsi="Aptos"/>
          <w:b w:val="0"/>
          <w:color w:val="202733"/>
          <w:sz w:val="18"/>
        </w:rPr>
        <w:t>Existing campaign, qualification, enrichment, and pipeline information below the action layer.</w:t>
      </w:r>
    </w:p>
    <w:p>
      <w:pPr>
        <w:pStyle w:val="ListBullet"/>
        <w:spacing w:after="20"/>
        <w:ind w:left="317" w:hanging="173"/>
      </w:pPr>
      <w:r>
        <w:rPr>
          <w:rFonts w:ascii="Aptos" w:hAnsi="Aptos"/>
          <w:b w:val="0"/>
          <w:color w:val="202733"/>
          <w:sz w:val="18"/>
        </w:rPr>
        <w:t>System-health metrics such as scraper activity, API failures, and acquisition velocity lower on the page.</w:t>
      </w:r>
    </w:p>
    <w:p>
      <w:pPr>
        <w:spacing w:before="160" w:after="60"/>
      </w:pPr>
      <w:r>
        <w:rPr>
          <w:rFonts w:ascii="Aptos" w:hAnsi="Aptos"/>
          <w:b/>
          <w:color w:val="0E1621"/>
          <w:sz w:val="26"/>
        </w:rPr>
        <w:t>Phase 1 Scope</w:t>
      </w:r>
    </w:p>
    <w:p>
      <w:pPr>
        <w:spacing w:after="100" w:line="259" w:lineRule="auto"/>
      </w:pPr>
      <w:r>
        <w:rPr>
          <w:rFonts w:ascii="Aptos" w:hAnsi="Aptos"/>
          <w:b w:val="0"/>
          <w:color w:val="202733"/>
          <w:sz w:val="20"/>
        </w:rPr>
        <w:t>Phase 1 should focus on prioritization, visibility, ownership, and manual sales tracking. It should include a short sales brief on each lead, a clear owner, a next action, a due date, and a manual sales status. Automated outreach, follow-up sequences, reply synchronization, reply classification, and calendar automation should remain part of Phase 2.</w:t>
      </w:r>
    </w:p>
    <w:p>
      <w:pPr>
        <w:spacing w:before="160" w:after="60"/>
      </w:pPr>
      <w:r>
        <w:rPr>
          <w:rFonts w:ascii="Aptos" w:hAnsi="Aptos"/>
          <w:b/>
          <w:color w:val="0E1621"/>
          <w:sz w:val="26"/>
        </w:rPr>
        <w:t>Direction to Owais</w:t>
      </w:r>
    </w:p>
    <w:p>
      <w:pPr>
        <w:spacing w:after="100" w:line="259" w:lineRule="auto"/>
      </w:pPr>
      <w:r>
        <w:rPr>
          <w:rFonts w:ascii="Aptos" w:hAnsi="Aptos"/>
          <w:b w:val="0"/>
          <w:color w:val="202733"/>
          <w:sz w:val="20"/>
        </w:rPr>
        <w:t>The current dashboard should not be treated as wrong or discarded. It should be preserved as the operational foundation and reorganized so the internal team can act faster. Before development begins, provide a simple wireframe showing the new Sales Action Center, the priority lead list, the short sales brief, and where the existing operational metrics will remain.</w:t>
      </w:r>
    </w:p>
    <w:tbl>
      <w:tblPr>
        <w:tblW w:type="auto" w:w="0"/>
        <w:jc w:val="center"/>
        <w:tblLayout w:type="fixed"/>
        <w:tblLook w:firstColumn="1" w:firstRow="1" w:lastColumn="0" w:lastRow="0" w:noHBand="0" w:noVBand="1" w:val="04A0"/>
      </w:tblPr>
      <w:tblGrid>
        <w:gridCol w:w="173"/>
        <w:gridCol w:w="9864"/>
      </w:tblGrid>
      <w:tr>
        <w:tc>
          <w:tcPr>
            <w:tcW w:type="dxa" w:w="5184"/>
            <w:shd w:fill="5F6BFF"/>
          </w:tcPr>
          <w:p/>
        </w:tc>
        <w:tc>
          <w:tcPr>
            <w:tcW w:type="dxa" w:w="5184"/>
            <w:shd w:fill="EDF2FF"/>
          </w:tcPr>
          <w:p>
            <w:r>
              <w:rPr>
                <w:rFonts w:ascii="Aptos" w:hAnsi="Aptos"/>
                <w:b/>
                <w:color w:val="0E1621"/>
                <w:sz w:val="20"/>
              </w:rPr>
              <w:t>Success Measure</w:t>
            </w:r>
          </w:p>
          <w:p>
            <w:pPr>
              <w:spacing w:after="0"/>
            </w:pPr>
            <w:r>
              <w:rPr>
                <w:rFonts w:ascii="Aptos" w:hAnsi="Aptos"/>
                <w:b w:val="0"/>
                <w:color w:val="202733"/>
                <w:sz w:val="19"/>
              </w:rPr>
              <w:t>When a Han Global team member logs in, they should be able to identify the top five actions immediately without opening and interpreting multiple lead records.</w:t>
            </w:r>
          </w:p>
        </w:tc>
      </w:tr>
    </w:tbl>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7085"/>
        <w:sz w:val="15"/>
      </w:rPr>
      <w:t>Dashboard Enhancement - Phase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7085"/>
        <w:sz w:val="15"/>
      </w:rPr>
      <w:t>HAN GLOBAL | INTERNAL PRODUCT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