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89846B">
      <w:pPr>
        <w:pStyle w:val="2"/>
        <w:numPr>
          <w:ilvl w:val="0"/>
          <w:numId w:val="0"/>
        </w:numPr>
        <w:bidi w:val="0"/>
        <w:spacing w:before="0" w:after="0" w:line="360" w:lineRule="auto"/>
        <w:rPr>
          <w:rFonts w:hint="eastAsia" w:cstheme="minorBidi"/>
          <w:color w:val="000000" w:themeColor="text1"/>
          <w14:textFill>
            <w14:solidFill>
              <w14:schemeClr w14:val="tx1"/>
            </w14:solidFill>
          </w14:textFill>
        </w:rPr>
      </w:pPr>
      <w:r>
        <w:rPr>
          <w:rFonts w:hint="eastAsia" w:cstheme="minorBidi"/>
          <w:color w:val="000000" w:themeColor="text1"/>
          <w:lang w:val="en-US" w:eastAsia="zh-CN"/>
          <w14:textFill>
            <w14:solidFill>
              <w14:schemeClr w14:val="tx1"/>
            </w14:solidFill>
          </w14:textFill>
        </w:rPr>
        <w:t>1.</w:t>
      </w:r>
      <w:r>
        <w:rPr>
          <w:rFonts w:hint="eastAsia" w:cstheme="minorBidi"/>
          <w:color w:val="000000" w:themeColor="text1"/>
          <w14:textFill>
            <w14:solidFill>
              <w14:schemeClr w14:val="tx1"/>
            </w14:solidFill>
          </w14:textFill>
        </w:rPr>
        <w:t>解释概念：Geoid，Dynamic height，SSH，</w:t>
      </w:r>
      <w:bookmarkStart w:id="0" w:name="OLE_LINK8"/>
      <w:bookmarkStart w:id="1" w:name="OLE_LINK9"/>
      <w:r>
        <w:rPr>
          <w:rFonts w:hint="eastAsia" w:cstheme="minorBidi"/>
          <w:color w:val="000000" w:themeColor="text1"/>
          <w14:textFill>
            <w14:solidFill>
              <w14:schemeClr w14:val="tx1"/>
            </w14:solidFill>
          </w14:textFill>
        </w:rPr>
        <w:t>Reference Ellipsoid</w:t>
      </w:r>
      <w:bookmarkEnd w:id="0"/>
      <w:bookmarkEnd w:id="1"/>
      <w:r>
        <w:rPr>
          <w:rFonts w:hint="eastAsia" w:cstheme="minorBidi"/>
          <w:color w:val="000000" w:themeColor="text1"/>
          <w14:textFill>
            <w14:solidFill>
              <w14:schemeClr w14:val="tx1"/>
            </w14:solidFill>
          </w14:textFill>
        </w:rPr>
        <w:t>。</w:t>
      </w:r>
    </w:p>
    <w:p w14:paraId="41196DD4">
      <w:pPr>
        <w:bidi w:val="0"/>
        <w:spacing w:line="360" w:lineRule="auto"/>
        <w:ind w:left="0" w:leftChars="0" w:firstLine="0" w:firstLineChars="0"/>
        <w:rPr>
          <w:rFonts w:hint="eastAsia"/>
        </w:rPr>
      </w:pPr>
      <w:r>
        <w:rPr>
          <w:rFonts w:hint="eastAsia"/>
          <w:b/>
          <w:bCs/>
          <w:lang w:val="en-US" w:eastAsia="zh-CN"/>
        </w:rPr>
        <w:t>定义：</w:t>
      </w:r>
    </w:p>
    <w:p w14:paraId="3C67A528">
      <w:pPr>
        <w:bidi w:val="0"/>
        <w:spacing w:line="360" w:lineRule="auto"/>
        <w:ind w:firstLine="420" w:firstLineChars="200"/>
        <w:rPr>
          <w:rFonts w:hint="eastAsia" w:cstheme="minorBidi"/>
          <w:b w:val="0"/>
          <w:bCs w:val="0"/>
          <w:color w:val="000000" w:themeColor="text1"/>
          <w:lang w:eastAsia="zh-CN"/>
          <w14:textFill>
            <w14:solidFill>
              <w14:schemeClr w14:val="tx1"/>
            </w14:solidFill>
          </w14:textFill>
        </w:rPr>
      </w:pPr>
      <w:r>
        <w:rPr>
          <w:rFonts w:hint="eastAsia" w:cstheme="minorBidi"/>
          <w:color w:val="000000" w:themeColor="text1"/>
          <w14:textFill>
            <w14:solidFill>
              <w14:schemeClr w14:val="tx1"/>
            </w14:solidFill>
          </w14:textFill>
        </w:rPr>
        <w:t>Geoid</w:t>
      </w:r>
      <w:r>
        <w:rPr>
          <w:rFonts w:hint="default" w:cstheme="minorBidi"/>
          <w:b/>
          <w:bCs/>
          <w:color w:val="000000" w:themeColor="text1"/>
          <w:lang w:val="en-US" w:eastAsia="zh-CN"/>
          <w14:textFill>
            <w14:solidFill>
              <w14:schemeClr w14:val="tx1"/>
            </w14:solidFill>
          </w14:textFill>
        </w:rPr>
        <w:t>大地水准面</w:t>
      </w:r>
      <w:r>
        <w:rPr>
          <w:rFonts w:hint="eastAsia" w:cstheme="minorBidi"/>
          <w:b w:val="0"/>
          <w:bCs w:val="0"/>
          <w:color w:val="000000" w:themeColor="text1"/>
          <w:lang w:val="en-US" w:eastAsia="zh-CN"/>
          <w14:textFill>
            <w14:solidFill>
              <w14:schemeClr w14:val="tx1"/>
            </w14:solidFill>
          </w14:textFill>
        </w:rPr>
        <w:t>，</w:t>
      </w:r>
      <w:r>
        <w:rPr>
          <w:rFonts w:hint="default" w:cstheme="minorBidi"/>
          <w:b w:val="0"/>
          <w:bCs w:val="0"/>
          <w:color w:val="000000" w:themeColor="text1"/>
          <w:lang w:val="en-US" w:eastAsia="zh-CN"/>
          <w14:textFill>
            <w14:solidFill>
              <w14:schemeClr w14:val="tx1"/>
            </w14:solidFill>
          </w14:textFill>
        </w:rPr>
        <w:t>根据地球重力场理论研究地球形状的一个基本概念。重力位等于常数的所有空间点形成的连续曲面称为重力等位面，通常称为水准面。处于静止状态的水面是一个水准面。</w:t>
      </w:r>
      <w:r>
        <w:rPr>
          <w:rFonts w:hint="default" w:cstheme="minorBidi"/>
          <w:b/>
          <w:bCs/>
          <w:color w:val="000000" w:themeColor="text1"/>
          <w:lang w:val="en-US" w:eastAsia="zh-CN"/>
          <w14:textFill>
            <w14:solidFill>
              <w14:schemeClr w14:val="tx1"/>
            </w14:solidFill>
          </w14:textFill>
        </w:rPr>
        <w:t>大地水准面是无穷个水准面中的一个代表地球整体自然形状的特定水准面</w:t>
      </w:r>
      <w:r>
        <w:rPr>
          <w:rFonts w:hint="default" w:cstheme="minorBidi"/>
          <w:b w:val="0"/>
          <w:bCs w:val="0"/>
          <w:color w:val="000000" w:themeColor="text1"/>
          <w:lang w:val="en-US" w:eastAsia="zh-CN"/>
          <w14:textFill>
            <w14:solidFill>
              <w14:schemeClr w14:val="tx1"/>
            </w14:solidFill>
          </w14:textFill>
        </w:rPr>
        <w:t>。李斯廷（Listing，J.B.）于1973年首先提出这一概念，设想处于静止平衡状态的海洋面向大陆下面延伸，所形成的封闭曲面称为大地水准面（这是大地水准面的经典定义）。在大地测量中，用验潮站长期观测所确定的平均海面（代替理想的静止海面）定义大地水准面上的一个点，并作为海拔高程的零点，因此，大地水准面又称水准基面。</w:t>
      </w:r>
      <w:r>
        <w:rPr>
          <w:rFonts w:hint="eastAsia" w:cstheme="minorBidi"/>
          <w:b w:val="0"/>
          <w:bCs w:val="0"/>
          <w:color w:val="000000" w:themeColor="text1"/>
          <w:lang w:eastAsia="zh-CN"/>
          <w14:textFill>
            <w14:solidFill>
              <w14:schemeClr w14:val="tx1"/>
            </w14:solidFill>
          </w14:textFill>
        </w:rPr>
        <w:t>现代海洋学结合卫星测高技术已证实，</w:t>
      </w:r>
      <w:r>
        <w:rPr>
          <w:rFonts w:hint="default" w:cstheme="minorBidi"/>
          <w:b w:val="0"/>
          <w:bCs w:val="0"/>
          <w:color w:val="000000" w:themeColor="text1"/>
          <w:lang w:eastAsia="zh-CN"/>
          <w14:textFill>
            <w14:solidFill>
              <w14:schemeClr w14:val="tx1"/>
            </w14:solidFill>
          </w14:textFill>
        </w:rPr>
        <w:fldChar w:fldCharType="begin"/>
      </w:r>
      <w:r>
        <w:rPr>
          <w:rFonts w:hint="default" w:cstheme="minorBidi"/>
          <w:b w:val="0"/>
          <w:bCs w:val="0"/>
          <w:color w:val="000000" w:themeColor="text1"/>
          <w:lang w:eastAsia="zh-CN"/>
          <w14:textFill>
            <w14:solidFill>
              <w14:schemeClr w14:val="tx1"/>
            </w14:solidFill>
          </w14:textFill>
        </w:rPr>
        <w:instrText xml:space="preserve"> HYPERLINK "https://baike.baidu.com/item/%E5%B9%B3%E5%9D%87%E6%B5%B7%E6%B0%B4%E9%9D%A2/6309984?fromModule=lemma_inlink" \t "https://baike.baidu.com/item/%E6%B5%B7%E9%9D%A2%E5%9C%B0%E5%BD%A2/_blank" </w:instrText>
      </w:r>
      <w:r>
        <w:rPr>
          <w:rFonts w:hint="default" w:cstheme="minorBidi"/>
          <w:b w:val="0"/>
          <w:bCs w:val="0"/>
          <w:color w:val="000000" w:themeColor="text1"/>
          <w:lang w:eastAsia="zh-CN"/>
          <w14:textFill>
            <w14:solidFill>
              <w14:schemeClr w14:val="tx1"/>
            </w14:solidFill>
          </w14:textFill>
        </w:rPr>
        <w:fldChar w:fldCharType="separate"/>
      </w:r>
      <w:r>
        <w:rPr>
          <w:rFonts w:hint="default" w:cstheme="minorBidi"/>
          <w:b w:val="0"/>
          <w:bCs w:val="0"/>
          <w:color w:val="000000" w:themeColor="text1"/>
          <w:lang w:eastAsia="zh-CN"/>
          <w14:textFill>
            <w14:solidFill>
              <w14:schemeClr w14:val="tx1"/>
            </w14:solidFill>
          </w14:textFill>
        </w:rPr>
        <w:t>平均海水面</w:t>
      </w:r>
      <w:r>
        <w:rPr>
          <w:rFonts w:hint="default" w:cstheme="minorBidi"/>
          <w:b w:val="0"/>
          <w:bCs w:val="0"/>
          <w:color w:val="000000" w:themeColor="text1"/>
          <w:lang w:eastAsia="zh-CN"/>
          <w14:textFill>
            <w14:solidFill>
              <w14:schemeClr w14:val="tx1"/>
            </w14:solidFill>
          </w14:textFill>
        </w:rPr>
        <w:fldChar w:fldCharType="end"/>
      </w:r>
      <w:r>
        <w:rPr>
          <w:rFonts w:hint="default" w:cstheme="minorBidi"/>
          <w:b w:val="0"/>
          <w:bCs w:val="0"/>
          <w:color w:val="000000" w:themeColor="text1"/>
          <w:lang w:eastAsia="zh-CN"/>
          <w14:textFill>
            <w14:solidFill>
              <w14:schemeClr w14:val="tx1"/>
            </w14:solidFill>
          </w14:textFill>
        </w:rPr>
        <w:t>并不是一个重力等位面。事实上，即使排除了日月引力的潮汐影响，由于</w:t>
      </w:r>
      <w:r>
        <w:rPr>
          <w:rFonts w:hint="default" w:cstheme="minorBidi"/>
          <w:b/>
          <w:bCs/>
          <w:color w:val="000000" w:themeColor="text1"/>
          <w:lang w:eastAsia="zh-CN"/>
          <w14:textFill>
            <w14:solidFill>
              <w14:schemeClr w14:val="tx1"/>
            </w14:solidFill>
          </w14:textFill>
        </w:rPr>
        <w:t>海面大气压力、温度和盐度的分布差异以及海洋上的面流作用</w:t>
      </w:r>
      <w:r>
        <w:rPr>
          <w:rFonts w:hint="default" w:cstheme="minorBidi"/>
          <w:b w:val="0"/>
          <w:bCs w:val="0"/>
          <w:color w:val="000000" w:themeColor="text1"/>
          <w:lang w:eastAsia="zh-CN"/>
          <w14:textFill>
            <w14:solidFill>
              <w14:schemeClr w14:val="tx1"/>
            </w14:solidFill>
          </w14:textFill>
        </w:rPr>
        <w:t>，使平均海面不是只受重力场作用的重力平衡的自由表面，这样一个表面在物理上不是等位面。设想一个“最接近”平均海水面的重力等位面，平均海水面相对于这个等位面的高程称为海面地形，其值可达1～2m。在理论上，将对应的海面地形全球积分平均值为零的等位面作为大地水准面，这是大地水准面现代定义的基本涵义。</w:t>
      </w:r>
      <w:r>
        <w:rPr>
          <w:rFonts w:hint="eastAsia" w:cstheme="minorBidi"/>
          <w:b w:val="0"/>
          <w:bCs w:val="0"/>
          <w:color w:val="000000" w:themeColor="text1"/>
          <w:lang w:eastAsia="zh-CN"/>
          <w14:textFill>
            <w14:solidFill>
              <w14:schemeClr w14:val="tx1"/>
            </w14:solidFill>
          </w14:textFill>
        </w:rPr>
        <w:t>但</w:t>
      </w:r>
      <w:r>
        <w:rPr>
          <w:rFonts w:hint="default" w:cstheme="minorBidi"/>
          <w:b w:val="0"/>
          <w:bCs w:val="0"/>
          <w:color w:val="000000" w:themeColor="text1"/>
          <w:lang w:eastAsia="zh-CN"/>
          <w14:textFill>
            <w14:solidFill>
              <w14:schemeClr w14:val="tx1"/>
            </w14:solidFill>
          </w14:textFill>
        </w:rPr>
        <w:t>是由于在实践上根据全球海面地形确定一个能普遍用于海洋学和大地测量学的大地水准面还存在困难</w:t>
      </w:r>
      <w:r>
        <w:rPr>
          <w:rFonts w:hint="eastAsia" w:cstheme="minorBidi"/>
          <w:b w:val="0"/>
          <w:bCs w:val="0"/>
          <w:color w:val="000000" w:themeColor="text1"/>
          <w:lang w:eastAsia="zh-CN"/>
          <w14:textFill>
            <w14:solidFill>
              <w14:schemeClr w14:val="tx1"/>
            </w14:solidFill>
          </w14:textFill>
        </w:rPr>
        <w:t>。</w:t>
      </w:r>
    </w:p>
    <w:p w14:paraId="4BE5D53F">
      <w:pPr>
        <w:bidi w:val="0"/>
        <w:spacing w:line="360" w:lineRule="auto"/>
        <w:ind w:firstLine="422" w:firstLineChars="200"/>
        <w:rPr>
          <w:rFonts w:hint="eastAsia" w:cstheme="minorBidi"/>
          <w:b w:val="0"/>
          <w:bCs w:val="0"/>
          <w:color w:val="000000" w:themeColor="text1"/>
          <w:lang w:eastAsia="zh-CN"/>
          <w14:textFill>
            <w14:solidFill>
              <w14:schemeClr w14:val="tx1"/>
            </w14:solidFill>
          </w14:textFill>
        </w:rPr>
      </w:pPr>
      <w:r>
        <w:rPr>
          <w:rFonts w:hint="eastAsia" w:cstheme="minorBidi"/>
          <w:b/>
          <w:bCs/>
          <w:color w:val="000000" w:themeColor="text1"/>
          <w14:textFill>
            <w14:solidFill>
              <w14:schemeClr w14:val="tx1"/>
            </w14:solidFill>
          </w14:textFill>
        </w:rPr>
        <w:t>Dynamic height</w:t>
      </w:r>
      <w:r>
        <w:rPr>
          <w:rFonts w:hint="eastAsia" w:cstheme="minorBidi"/>
          <w:b w:val="0"/>
          <w:bCs w:val="0"/>
          <w:color w:val="000000" w:themeColor="text1"/>
          <w:position w:val="-8"/>
          <w:lang w:eastAsia="zh-CN"/>
          <w14:textFill>
            <w14:solidFill>
              <w14:schemeClr w14:val="tx1"/>
            </w14:solidFill>
          </w14:textFill>
        </w:rPr>
        <w:object>
          <v:shape id="_x0000_i1025" o:spt="75" type="#_x0000_t75" style="height:16pt;width:204.95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p>
    <w:p w14:paraId="37348CDA">
      <w:pPr>
        <w:bidi w:val="0"/>
        <w:spacing w:line="360" w:lineRule="auto"/>
        <w:ind w:firstLine="422" w:firstLineChars="200"/>
        <w:rPr>
          <w:rFonts w:hint="eastAsia" w:cstheme="minorBidi"/>
          <w:color w:val="000000" w:themeColor="text1"/>
          <w:lang w:val="en-US" w:eastAsia="zh-CN"/>
          <w14:textFill>
            <w14:solidFill>
              <w14:schemeClr w14:val="tx1"/>
            </w14:solidFill>
          </w14:textFill>
        </w:rPr>
      </w:pPr>
      <w:r>
        <w:rPr>
          <w:rFonts w:hint="eastAsia" w:cstheme="minorBidi"/>
          <w:b/>
          <w:bCs/>
          <w:color w:val="000000" w:themeColor="text1"/>
          <w14:textFill>
            <w14:solidFill>
              <w14:schemeClr w14:val="tx1"/>
            </w14:solidFill>
          </w14:textFill>
        </w:rPr>
        <w:t>SSH</w:t>
      </w:r>
      <w:r>
        <w:rPr>
          <w:rFonts w:hint="eastAsia" w:cstheme="minorBidi"/>
          <w:color w:val="000000" w:themeColor="text1"/>
          <w:lang w:val="en-US" w:eastAsia="zh-CN"/>
          <w14:textFill>
            <w14:solidFill>
              <w14:schemeClr w14:val="tx1"/>
            </w14:solidFill>
          </w14:textFill>
        </w:rPr>
        <w:t>海表面高度</w:t>
      </w:r>
    </w:p>
    <w:p w14:paraId="22674852">
      <w:pPr>
        <w:bidi w:val="0"/>
        <w:spacing w:line="360" w:lineRule="auto"/>
        <w:ind w:firstLine="420" w:firstLineChars="200"/>
        <w:rPr>
          <w:rFonts w:hint="default" w:cstheme="minorBidi"/>
          <w:color w:val="000000" w:themeColor="text1"/>
          <w:lang w:val="en-US" w:eastAsia="zh-CN"/>
          <w14:textFill>
            <w14:solidFill>
              <w14:schemeClr w14:val="tx1"/>
            </w14:solidFill>
          </w14:textFill>
        </w:rPr>
      </w:pPr>
      <w:r>
        <w:rPr>
          <w:rFonts w:hint="default" w:cstheme="minorBidi"/>
          <w:color w:val="000000" w:themeColor="text1"/>
          <w:lang w:val="en-US" w:eastAsia="zh-CN"/>
          <w14:textFill>
            <w14:solidFill>
              <w14:schemeClr w14:val="tx1"/>
            </w14:solidFill>
          </w14:textFill>
        </w:rPr>
        <w:t>海表面高度（Sea Surface Height）：海表面相对于椭球参考面的距离。</w:t>
      </w:r>
    </w:p>
    <w:p w14:paraId="6F4E47CE">
      <w:pPr>
        <w:keepNext w:val="0"/>
        <w:keepLines w:val="0"/>
        <w:pageBreakBefore w:val="0"/>
        <w:widowControl w:val="0"/>
        <w:kinsoku/>
        <w:wordWrap/>
        <w:overflowPunct/>
        <w:topLinePunct w:val="0"/>
        <w:autoSpaceDE/>
        <w:autoSpaceDN/>
        <w:bidi w:val="0"/>
        <w:adjustRightInd/>
        <w:snapToGrid/>
        <w:ind w:left="2591"/>
        <w:textAlignment w:val="auto"/>
        <w:rPr>
          <w:rFonts w:ascii="Cambria Math" w:hAnsi="Cambria Math" w:eastAsia="Cambria Math" w:cs="Cambria Math"/>
          <w:sz w:val="17"/>
          <w:szCs w:val="17"/>
        </w:rPr>
      </w:pPr>
      <w:r>
        <w:rPr>
          <w:rFonts w:ascii="Cambria Math" w:hAnsi="Cambria Math" w:eastAsia="Cambria Math" w:cs="Cambria Math"/>
          <w:spacing w:val="-3"/>
          <w:position w:val="1"/>
          <w:sz w:val="24"/>
          <w:szCs w:val="24"/>
        </w:rPr>
        <w:t>SSH</w:t>
      </w:r>
      <w:r>
        <w:rPr>
          <w:rFonts w:ascii="Cambria Math" w:hAnsi="Cambria Math" w:eastAsia="Cambria Math" w:cs="Cambria Math"/>
          <w:spacing w:val="28"/>
          <w:position w:val="1"/>
          <w:sz w:val="24"/>
          <w:szCs w:val="24"/>
        </w:rPr>
        <w:t xml:space="preserve"> </w:t>
      </w:r>
      <w:r>
        <w:rPr>
          <w:rFonts w:ascii="Cambria Math" w:hAnsi="Cambria Math" w:eastAsia="Cambria Math" w:cs="Cambria Math"/>
          <w:spacing w:val="-3"/>
          <w:position w:val="1"/>
          <w:sz w:val="24"/>
          <w:szCs w:val="24"/>
        </w:rPr>
        <w:t>=</w:t>
      </w:r>
      <w:r>
        <w:rPr>
          <w:rFonts w:ascii="Cambria Math" w:hAnsi="Cambria Math" w:eastAsia="Cambria Math" w:cs="Cambria Math"/>
          <w:spacing w:val="28"/>
          <w:position w:val="1"/>
          <w:sz w:val="24"/>
          <w:szCs w:val="24"/>
        </w:rPr>
        <w:t xml:space="preserve"> </w:t>
      </w:r>
      <w:r>
        <w:rPr>
          <w:rFonts w:ascii="Cambria Math" w:hAnsi="Cambria Math" w:eastAsia="Cambria Math" w:cs="Cambria Math"/>
          <w:spacing w:val="-3"/>
          <w:position w:val="1"/>
          <w:sz w:val="24"/>
          <w:szCs w:val="24"/>
        </w:rPr>
        <w:t>S</w:t>
      </w:r>
      <w:r>
        <w:rPr>
          <w:rFonts w:ascii="Cambria Math" w:hAnsi="Cambria Math" w:eastAsia="Cambria Math" w:cs="Cambria Math"/>
          <w:spacing w:val="18"/>
          <w:w w:val="101"/>
          <w:position w:val="1"/>
          <w:sz w:val="24"/>
          <w:szCs w:val="24"/>
        </w:rPr>
        <w:t xml:space="preserve"> </w:t>
      </w:r>
      <w:r>
        <w:rPr>
          <w:rFonts w:ascii="Cambria Math" w:hAnsi="Cambria Math" w:eastAsia="Cambria Math" w:cs="Cambria Math"/>
          <w:spacing w:val="-3"/>
          <w:position w:val="1"/>
          <w:sz w:val="24"/>
          <w:szCs w:val="24"/>
        </w:rPr>
        <w:t>−</w:t>
      </w:r>
      <w:r>
        <w:rPr>
          <w:rFonts w:ascii="Cambria Math" w:hAnsi="Cambria Math" w:eastAsia="Cambria Math" w:cs="Cambria Math"/>
          <w:spacing w:val="15"/>
          <w:position w:val="1"/>
          <w:sz w:val="24"/>
          <w:szCs w:val="24"/>
        </w:rPr>
        <w:t xml:space="preserve"> </w:t>
      </w:r>
      <w:r>
        <w:rPr>
          <w:rFonts w:ascii="Cambria Math" w:hAnsi="Cambria Math" w:eastAsia="Cambria Math" w:cs="Cambria Math"/>
          <w:spacing w:val="-3"/>
          <w:position w:val="1"/>
          <w:sz w:val="24"/>
          <w:szCs w:val="24"/>
        </w:rPr>
        <w:t>R</w:t>
      </w:r>
      <w:r>
        <w:rPr>
          <w:rFonts w:ascii="Cambria Math" w:hAnsi="Cambria Math" w:eastAsia="Cambria Math" w:cs="Cambria Math"/>
          <w:spacing w:val="31"/>
          <w:w w:val="101"/>
          <w:position w:val="1"/>
          <w:sz w:val="24"/>
          <w:szCs w:val="24"/>
        </w:rPr>
        <w:t xml:space="preserve"> </w:t>
      </w:r>
      <w:r>
        <w:rPr>
          <w:rFonts w:ascii="Cambria Math" w:hAnsi="Cambria Math" w:eastAsia="Cambria Math" w:cs="Cambria Math"/>
          <w:spacing w:val="-3"/>
          <w:position w:val="1"/>
          <w:sz w:val="24"/>
          <w:szCs w:val="24"/>
        </w:rPr>
        <w:t>=</w:t>
      </w:r>
      <w:r>
        <w:rPr>
          <w:rFonts w:ascii="Cambria Math" w:hAnsi="Cambria Math" w:eastAsia="Cambria Math" w:cs="Cambria Math"/>
          <w:spacing w:val="20"/>
          <w:position w:val="1"/>
          <w:sz w:val="24"/>
          <w:szCs w:val="24"/>
        </w:rPr>
        <w:t xml:space="preserve"> </w:t>
      </w:r>
      <w:r>
        <w:rPr>
          <w:rFonts w:ascii="Cambria Math" w:hAnsi="Cambria Math" w:eastAsia="Cambria Math" w:cs="Cambria Math"/>
          <w:spacing w:val="-3"/>
          <w:position w:val="1"/>
          <w:sz w:val="24"/>
          <w:szCs w:val="24"/>
        </w:rPr>
        <w:t>h</w:t>
      </w:r>
      <w:r>
        <w:rPr>
          <w:rFonts w:ascii="Cambria Math" w:hAnsi="Cambria Math" w:eastAsia="Cambria Math" w:cs="Cambria Math"/>
          <w:spacing w:val="-3"/>
          <w:position w:val="-3"/>
          <w:sz w:val="17"/>
          <w:szCs w:val="17"/>
        </w:rPr>
        <w:t xml:space="preserve">d  </w:t>
      </w:r>
      <w:r>
        <w:rPr>
          <w:rFonts w:ascii="Cambria Math" w:hAnsi="Cambria Math" w:eastAsia="Cambria Math" w:cs="Cambria Math"/>
          <w:spacing w:val="-3"/>
          <w:position w:val="1"/>
          <w:sz w:val="24"/>
          <w:szCs w:val="24"/>
        </w:rPr>
        <w:t>+ h</w:t>
      </w:r>
      <w:r>
        <w:rPr>
          <w:rFonts w:ascii="Cambria Math" w:hAnsi="Cambria Math" w:eastAsia="Cambria Math" w:cs="Cambria Math"/>
          <w:spacing w:val="-3"/>
          <w:position w:val="-3"/>
          <w:sz w:val="17"/>
          <w:szCs w:val="17"/>
        </w:rPr>
        <w:t>g</w:t>
      </w:r>
      <w:r>
        <w:rPr>
          <w:rFonts w:ascii="Cambria Math" w:hAnsi="Cambria Math" w:eastAsia="Cambria Math" w:cs="Cambria Math"/>
          <w:spacing w:val="3"/>
          <w:position w:val="-3"/>
          <w:sz w:val="17"/>
          <w:szCs w:val="17"/>
        </w:rPr>
        <w:t xml:space="preserve">  </w:t>
      </w:r>
      <w:r>
        <w:rPr>
          <w:rFonts w:ascii="Cambria Math" w:hAnsi="Cambria Math" w:eastAsia="Cambria Math" w:cs="Cambria Math"/>
          <w:spacing w:val="-3"/>
          <w:position w:val="1"/>
          <w:sz w:val="24"/>
          <w:szCs w:val="24"/>
        </w:rPr>
        <w:t>+</w:t>
      </w:r>
      <w:r>
        <w:rPr>
          <w:rFonts w:ascii="Cambria Math" w:hAnsi="Cambria Math" w:eastAsia="Cambria Math" w:cs="Cambria Math"/>
          <w:spacing w:val="3"/>
          <w:position w:val="1"/>
          <w:sz w:val="24"/>
          <w:szCs w:val="24"/>
        </w:rPr>
        <w:t xml:space="preserve"> </w:t>
      </w:r>
      <w:r>
        <w:rPr>
          <w:position w:val="-32"/>
          <w:sz w:val="24"/>
          <w:szCs w:val="24"/>
        </w:rPr>
        <w:drawing>
          <wp:inline distT="0" distB="0" distL="0" distR="0">
            <wp:extent cx="200025" cy="410845"/>
            <wp:effectExtent l="0" t="0" r="13335" b="635"/>
            <wp:docPr id="18" name="IM 4"/>
            <wp:cNvGraphicFramePr/>
            <a:graphic xmlns:a="http://schemas.openxmlformats.org/drawingml/2006/main">
              <a:graphicData uri="http://schemas.openxmlformats.org/drawingml/2006/picture">
                <pic:pic xmlns:pic="http://schemas.openxmlformats.org/drawingml/2006/picture">
                  <pic:nvPicPr>
                    <pic:cNvPr id="18" name="IM 4"/>
                    <pic:cNvPicPr/>
                  </pic:nvPicPr>
                  <pic:blipFill>
                    <a:blip r:embed="rId6"/>
                    <a:stretch>
                      <a:fillRect/>
                    </a:stretch>
                  </pic:blipFill>
                  <pic:spPr>
                    <a:xfrm>
                      <a:off x="0" y="0"/>
                      <a:ext cx="200100" cy="410964"/>
                    </a:xfrm>
                    <a:prstGeom prst="rect">
                      <a:avLst/>
                    </a:prstGeom>
                  </pic:spPr>
                </pic:pic>
              </a:graphicData>
            </a:graphic>
          </wp:inline>
        </w:drawing>
      </w:r>
      <w:r>
        <w:rPr>
          <w:rFonts w:ascii="Cambria Math" w:hAnsi="Cambria Math" w:eastAsia="Cambria Math" w:cs="Cambria Math"/>
          <w:spacing w:val="-3"/>
          <w:position w:val="1"/>
          <w:sz w:val="24"/>
          <w:szCs w:val="24"/>
        </w:rPr>
        <w:t>e</w:t>
      </w:r>
      <w:r>
        <w:rPr>
          <w:rFonts w:ascii="Cambria Math" w:hAnsi="Cambria Math" w:eastAsia="Cambria Math" w:cs="Cambria Math"/>
          <w:spacing w:val="-3"/>
          <w:position w:val="-3"/>
          <w:sz w:val="17"/>
          <w:szCs w:val="17"/>
        </w:rPr>
        <w:t>i</w:t>
      </w:r>
    </w:p>
    <w:p w14:paraId="1E209527">
      <w:pPr>
        <w:keepNext w:val="0"/>
        <w:keepLines w:val="0"/>
        <w:pageBreakBefore w:val="0"/>
        <w:widowControl w:val="0"/>
        <w:kinsoku/>
        <w:wordWrap/>
        <w:overflowPunct/>
        <w:topLinePunct w:val="0"/>
        <w:autoSpaceDE/>
        <w:autoSpaceDN/>
        <w:bidi w:val="0"/>
        <w:adjustRightInd/>
        <w:snapToGrid/>
        <w:spacing w:line="219" w:lineRule="auto"/>
        <w:ind w:firstLine="476" w:firstLineChars="200"/>
        <w:textAlignment w:val="auto"/>
        <w:rPr>
          <w:rFonts w:ascii="楷体" w:hAnsi="楷体" w:eastAsia="楷体" w:cs="楷体"/>
          <w:sz w:val="24"/>
          <w:szCs w:val="24"/>
        </w:rPr>
      </w:pPr>
      <w:r>
        <w:rPr>
          <w:rFonts w:ascii="楷体" w:hAnsi="楷体" w:eastAsia="楷体" w:cs="楷体"/>
          <w:spacing w:val="-1"/>
          <w:sz w:val="24"/>
          <w:szCs w:val="24"/>
        </w:rPr>
        <w:t>其中，</w:t>
      </w:r>
      <w:r>
        <w:rPr>
          <w:rFonts w:ascii="Times New Roman" w:hAnsi="Times New Roman" w:eastAsia="Times New Roman" w:cs="Times New Roman"/>
          <w:spacing w:val="-1"/>
          <w:sz w:val="24"/>
          <w:szCs w:val="24"/>
        </w:rPr>
        <w:t xml:space="preserve">S </w:t>
      </w:r>
      <w:r>
        <w:rPr>
          <w:rFonts w:ascii="楷体" w:hAnsi="楷体" w:eastAsia="楷体" w:cs="楷体"/>
          <w:spacing w:val="-1"/>
          <w:sz w:val="24"/>
          <w:szCs w:val="24"/>
        </w:rPr>
        <w:t>是卫星到参考椭球面的距离，</w:t>
      </w:r>
      <w:r>
        <w:rPr>
          <w:rFonts w:ascii="Times New Roman" w:hAnsi="Times New Roman" w:eastAsia="Times New Roman" w:cs="Times New Roman"/>
          <w:spacing w:val="-1"/>
          <w:sz w:val="24"/>
          <w:szCs w:val="24"/>
        </w:rPr>
        <w:t xml:space="preserve">R </w:t>
      </w:r>
      <w:r>
        <w:rPr>
          <w:rFonts w:ascii="楷体" w:hAnsi="楷体" w:eastAsia="楷体" w:cs="楷体"/>
          <w:spacing w:val="-1"/>
          <w:sz w:val="24"/>
          <w:szCs w:val="24"/>
        </w:rPr>
        <w:t>是卫星到海表面的距离。</w:t>
      </w:r>
      <w:r>
        <w:rPr>
          <w:rFonts w:ascii="Cambria Math" w:hAnsi="Cambria Math" w:eastAsia="Cambria Math" w:cs="Cambria Math"/>
          <w:spacing w:val="-1"/>
          <w:sz w:val="24"/>
          <w:szCs w:val="24"/>
        </w:rPr>
        <w:t>h</w:t>
      </w:r>
      <w:r>
        <w:rPr>
          <w:rFonts w:ascii="Cambria Math" w:hAnsi="Cambria Math" w:eastAsia="Cambria Math" w:cs="Cambria Math"/>
          <w:spacing w:val="-1"/>
          <w:position w:val="-4"/>
          <w:sz w:val="17"/>
          <w:szCs w:val="17"/>
        </w:rPr>
        <w:t>g</w:t>
      </w:r>
      <w:r>
        <w:rPr>
          <w:rFonts w:ascii="Cambria Math" w:hAnsi="Cambria Math" w:eastAsia="Cambria Math" w:cs="Cambria Math"/>
          <w:spacing w:val="-15"/>
          <w:position w:val="-4"/>
          <w:sz w:val="17"/>
          <w:szCs w:val="17"/>
        </w:rPr>
        <w:t xml:space="preserve"> </w:t>
      </w:r>
      <w:r>
        <w:rPr>
          <w:rFonts w:ascii="楷体" w:hAnsi="楷体" w:eastAsia="楷体" w:cs="楷体"/>
          <w:spacing w:val="-1"/>
          <w:sz w:val="24"/>
          <w:szCs w:val="24"/>
        </w:rPr>
        <w:t>是大地水准</w:t>
      </w:r>
      <w:r>
        <w:rPr>
          <w:rFonts w:ascii="楷体" w:hAnsi="楷体" w:eastAsia="楷体" w:cs="楷体"/>
          <w:spacing w:val="-4"/>
          <w:sz w:val="24"/>
          <w:szCs w:val="24"/>
        </w:rPr>
        <w:t>面起伏，</w:t>
      </w:r>
      <w:r>
        <w:rPr>
          <w:rFonts w:ascii="Cambria Math" w:hAnsi="Cambria Math" w:eastAsia="Cambria Math" w:cs="Cambria Math"/>
          <w:spacing w:val="-4"/>
          <w:sz w:val="24"/>
          <w:szCs w:val="24"/>
        </w:rPr>
        <w:t>e</w:t>
      </w:r>
      <w:r>
        <w:rPr>
          <w:rFonts w:ascii="Cambria Math" w:hAnsi="Cambria Math" w:eastAsia="Cambria Math" w:cs="Cambria Math"/>
          <w:spacing w:val="-4"/>
          <w:position w:val="-4"/>
          <w:sz w:val="17"/>
          <w:szCs w:val="17"/>
        </w:rPr>
        <w:t>i</w:t>
      </w:r>
      <w:r>
        <w:rPr>
          <w:rFonts w:ascii="Cambria Math" w:hAnsi="Cambria Math" w:eastAsia="Cambria Math" w:cs="Cambria Math"/>
          <w:spacing w:val="-6"/>
          <w:position w:val="-4"/>
          <w:sz w:val="17"/>
          <w:szCs w:val="17"/>
        </w:rPr>
        <w:t xml:space="preserve"> </w:t>
      </w:r>
      <w:r>
        <w:rPr>
          <w:rFonts w:ascii="楷体" w:hAnsi="楷体" w:eastAsia="楷体" w:cs="楷体"/>
          <w:spacing w:val="-4"/>
          <w:sz w:val="24"/>
          <w:szCs w:val="24"/>
        </w:rPr>
        <w:t>是第</w:t>
      </w:r>
      <w:r>
        <w:rPr>
          <w:rFonts w:ascii="楷体" w:hAnsi="楷体" w:eastAsia="楷体" w:cs="楷体"/>
          <w:spacing w:val="-53"/>
          <w:sz w:val="24"/>
          <w:szCs w:val="24"/>
        </w:rPr>
        <w:t xml:space="preserve"> </w:t>
      </w:r>
      <w:r>
        <w:rPr>
          <w:rFonts w:ascii="Times New Roman" w:hAnsi="Times New Roman" w:eastAsia="Times New Roman" w:cs="Times New Roman"/>
          <w:spacing w:val="-4"/>
          <w:sz w:val="24"/>
          <w:szCs w:val="24"/>
        </w:rPr>
        <w:t xml:space="preserve">i </w:t>
      </w:r>
      <w:r>
        <w:rPr>
          <w:rFonts w:ascii="楷体" w:hAnsi="楷体" w:eastAsia="楷体" w:cs="楷体"/>
          <w:spacing w:val="-4"/>
          <w:sz w:val="24"/>
          <w:szCs w:val="24"/>
        </w:rPr>
        <w:t>个原因产生的误差。</w:t>
      </w:r>
    </w:p>
    <w:p w14:paraId="43922CAF">
      <w:pPr>
        <w:bidi w:val="0"/>
        <w:spacing w:line="360" w:lineRule="auto"/>
        <w:ind w:firstLine="422" w:firstLineChars="200"/>
        <w:rPr>
          <w:rFonts w:hint="default" w:cstheme="minorBidi"/>
          <w:color w:val="000000" w:themeColor="text1"/>
          <w:lang w:val="en-US" w:eastAsia="zh-CN"/>
          <w14:textFill>
            <w14:solidFill>
              <w14:schemeClr w14:val="tx1"/>
            </w14:solidFill>
          </w14:textFill>
        </w:rPr>
      </w:pPr>
      <w:r>
        <w:rPr>
          <w:rFonts w:hint="eastAsia" w:cstheme="minorBidi"/>
          <w:b/>
          <w:bCs/>
          <w:color w:val="000000" w:themeColor="text1"/>
          <w14:textFill>
            <w14:solidFill>
              <w14:schemeClr w14:val="tx1"/>
            </w14:solidFill>
          </w14:textFill>
        </w:rPr>
        <w:t>Reference Ellipsoid</w:t>
      </w:r>
      <w:r>
        <w:rPr>
          <w:rFonts w:hint="default" w:cstheme="minorBidi"/>
          <w:b/>
          <w:bCs/>
          <w:color w:val="000000" w:themeColor="text1"/>
          <w:lang w:val="en-US" w:eastAsia="zh-CN"/>
          <w14:textFill>
            <w14:solidFill>
              <w14:schemeClr w14:val="tx1"/>
            </w14:solidFill>
          </w14:textFill>
        </w:rPr>
        <w:t>参考椭球体</w:t>
      </w:r>
      <w:r>
        <w:rPr>
          <w:rFonts w:hint="default" w:cstheme="minorBidi"/>
          <w:color w:val="000000" w:themeColor="text1"/>
          <w:lang w:val="en-US" w:eastAsia="zh-CN"/>
          <w14:textFill>
            <w14:solidFill>
              <w14:schemeClr w14:val="tx1"/>
            </w14:solidFill>
          </w14:textFill>
        </w:rPr>
        <w:t>是一个数学上定义的地球表面，它近似于</w:t>
      </w:r>
      <w:r>
        <w:rPr>
          <w:rFonts w:hint="default" w:cstheme="minorBidi"/>
          <w:color w:val="000000" w:themeColor="text1"/>
          <w:lang w:val="en-US" w:eastAsia="zh-CN"/>
          <w14:textFill>
            <w14:solidFill>
              <w14:schemeClr w14:val="tx1"/>
            </w14:solidFill>
          </w14:textFill>
        </w:rPr>
        <w:fldChar w:fldCharType="begin"/>
      </w:r>
      <w:r>
        <w:rPr>
          <w:rFonts w:hint="default" w:cstheme="minorBidi"/>
          <w:color w:val="000000" w:themeColor="text1"/>
          <w:lang w:val="en-US" w:eastAsia="zh-CN"/>
          <w14:textFill>
            <w14:solidFill>
              <w14:schemeClr w14:val="tx1"/>
            </w14:solidFill>
          </w14:textFill>
        </w:rPr>
        <w:instrText xml:space="preserve"> HYPERLINK "https://baike.baidu.com/item/%E5%A4%A7%E5%9C%B0%E6%B0%B4%E5%87%86%E9%9D%A2/4305092?fromModule=lemma_inlink" \t "https://baike.baidu.com/item/%E5%8F%82%E8%80%83%E6%A4%AD%E7%90%83/_blank" </w:instrText>
      </w:r>
      <w:r>
        <w:rPr>
          <w:rFonts w:hint="default" w:cstheme="minorBidi"/>
          <w:color w:val="000000" w:themeColor="text1"/>
          <w:lang w:val="en-US" w:eastAsia="zh-CN"/>
          <w14:textFill>
            <w14:solidFill>
              <w14:schemeClr w14:val="tx1"/>
            </w14:solidFill>
          </w14:textFill>
        </w:rPr>
        <w:fldChar w:fldCharType="separate"/>
      </w:r>
      <w:r>
        <w:rPr>
          <w:rFonts w:hint="default" w:cstheme="minorBidi"/>
          <w:color w:val="000000" w:themeColor="text1"/>
          <w:lang w:val="en-US" w:eastAsia="zh-CN"/>
          <w14:textFill>
            <w14:solidFill>
              <w14:schemeClr w14:val="tx1"/>
            </w14:solidFill>
          </w14:textFill>
        </w:rPr>
        <w:t>大地水准面</w:t>
      </w:r>
      <w:r>
        <w:rPr>
          <w:rFonts w:hint="default" w:cstheme="minorBidi"/>
          <w:color w:val="000000" w:themeColor="text1"/>
          <w:lang w:val="en-US" w:eastAsia="zh-CN"/>
          <w14:textFill>
            <w14:solidFill>
              <w14:schemeClr w14:val="tx1"/>
            </w14:solidFill>
          </w14:textFill>
        </w:rPr>
        <w:fldChar w:fldCharType="end"/>
      </w:r>
      <w:r>
        <w:rPr>
          <w:rFonts w:hint="default" w:cstheme="minorBidi"/>
          <w:color w:val="000000" w:themeColor="text1"/>
          <w:lang w:val="en-US" w:eastAsia="zh-CN"/>
          <w14:textFill>
            <w14:solidFill>
              <w14:schemeClr w14:val="tx1"/>
            </w14:solidFill>
          </w14:textFill>
        </w:rPr>
        <w:t>。 由于其相对简单，参考椭球是</w:t>
      </w:r>
      <w:r>
        <w:rPr>
          <w:rFonts w:hint="default" w:cstheme="minorBidi"/>
          <w:color w:val="000000" w:themeColor="text1"/>
          <w:lang w:val="en-US" w:eastAsia="zh-CN"/>
          <w14:textFill>
            <w14:solidFill>
              <w14:schemeClr w14:val="tx1"/>
            </w14:solidFill>
          </w14:textFill>
        </w:rPr>
        <w:fldChar w:fldCharType="begin"/>
      </w:r>
      <w:r>
        <w:rPr>
          <w:rFonts w:hint="default" w:cstheme="minorBidi"/>
          <w:color w:val="000000" w:themeColor="text1"/>
          <w:lang w:val="en-US" w:eastAsia="zh-CN"/>
          <w14:textFill>
            <w14:solidFill>
              <w14:schemeClr w14:val="tx1"/>
            </w14:solidFill>
          </w14:textFill>
        </w:rPr>
        <w:instrText xml:space="preserve"> HYPERLINK "https://baike.baidu.com/item/%E5%A4%A7%E5%9C%B0%E6%8E%A7%E5%88%B6%E7%BD%91/2286485?fromModule=lemma_inlink" \t "https://baike.baidu.com/item/%E5%8F%82%E8%80%83%E6%A4%AD%E7%90%83/_blank" </w:instrText>
      </w:r>
      <w:r>
        <w:rPr>
          <w:rFonts w:hint="default" w:cstheme="minorBidi"/>
          <w:color w:val="000000" w:themeColor="text1"/>
          <w:lang w:val="en-US" w:eastAsia="zh-CN"/>
          <w14:textFill>
            <w14:solidFill>
              <w14:schemeClr w14:val="tx1"/>
            </w14:solidFill>
          </w14:textFill>
        </w:rPr>
        <w:fldChar w:fldCharType="separate"/>
      </w:r>
      <w:r>
        <w:rPr>
          <w:rFonts w:hint="default" w:cstheme="minorBidi"/>
          <w:color w:val="000000" w:themeColor="text1"/>
          <w:lang w:val="en-US" w:eastAsia="zh-CN"/>
          <w14:textFill>
            <w14:solidFill>
              <w14:schemeClr w14:val="tx1"/>
            </w14:solidFill>
          </w14:textFill>
        </w:rPr>
        <w:t>大地控制网</w:t>
      </w:r>
      <w:r>
        <w:rPr>
          <w:rFonts w:hint="default" w:cstheme="minorBidi"/>
          <w:color w:val="000000" w:themeColor="text1"/>
          <w:lang w:val="en-US" w:eastAsia="zh-CN"/>
          <w14:textFill>
            <w14:solidFill>
              <w14:schemeClr w14:val="tx1"/>
            </w14:solidFill>
          </w14:textFill>
        </w:rPr>
        <w:fldChar w:fldCharType="end"/>
      </w:r>
      <w:r>
        <w:rPr>
          <w:rFonts w:hint="default" w:cstheme="minorBidi"/>
          <w:color w:val="000000" w:themeColor="text1"/>
          <w:lang w:val="en-US" w:eastAsia="zh-CN"/>
          <w14:textFill>
            <w14:solidFill>
              <w14:schemeClr w14:val="tx1"/>
            </w14:solidFill>
          </w14:textFill>
        </w:rPr>
        <w:t>计算和显示点坐标（如</w:t>
      </w:r>
      <w:r>
        <w:rPr>
          <w:rFonts w:hint="default" w:cstheme="minorBidi"/>
          <w:color w:val="000000" w:themeColor="text1"/>
          <w:lang w:val="en-US" w:eastAsia="zh-CN"/>
          <w14:textFill>
            <w14:solidFill>
              <w14:schemeClr w14:val="tx1"/>
            </w14:solidFill>
          </w14:textFill>
        </w:rPr>
        <w:fldChar w:fldCharType="begin"/>
      </w:r>
      <w:r>
        <w:rPr>
          <w:rFonts w:hint="default" w:cstheme="minorBidi"/>
          <w:color w:val="000000" w:themeColor="text1"/>
          <w:lang w:val="en-US" w:eastAsia="zh-CN"/>
          <w14:textFill>
            <w14:solidFill>
              <w14:schemeClr w14:val="tx1"/>
            </w14:solidFill>
          </w14:textFill>
        </w:rPr>
        <w:instrText xml:space="preserve"> HYPERLINK "https://baike.baidu.com/item/%E7%BA%AC%E5%BA%A6/107293?fromModule=lemma_inlink" \t "https://baike.baidu.com/item/%E5%8F%82%E8%80%83%E6%A4%AD%E7%90%83/_blank" </w:instrText>
      </w:r>
      <w:r>
        <w:rPr>
          <w:rFonts w:hint="default" w:cstheme="minorBidi"/>
          <w:color w:val="000000" w:themeColor="text1"/>
          <w:lang w:val="en-US" w:eastAsia="zh-CN"/>
          <w14:textFill>
            <w14:solidFill>
              <w14:schemeClr w14:val="tx1"/>
            </w14:solidFill>
          </w14:textFill>
        </w:rPr>
        <w:fldChar w:fldCharType="separate"/>
      </w:r>
      <w:r>
        <w:rPr>
          <w:rFonts w:hint="default" w:cstheme="minorBidi"/>
          <w:color w:val="000000" w:themeColor="text1"/>
          <w:lang w:val="en-US" w:eastAsia="zh-CN"/>
          <w14:textFill>
            <w14:solidFill>
              <w14:schemeClr w14:val="tx1"/>
            </w14:solidFill>
          </w14:textFill>
        </w:rPr>
        <w:t>纬度</w:t>
      </w:r>
      <w:r>
        <w:rPr>
          <w:rFonts w:hint="default" w:cstheme="minorBidi"/>
          <w:color w:val="000000" w:themeColor="text1"/>
          <w:lang w:val="en-US" w:eastAsia="zh-CN"/>
          <w14:textFill>
            <w14:solidFill>
              <w14:schemeClr w14:val="tx1"/>
            </w14:solidFill>
          </w14:textFill>
        </w:rPr>
        <w:fldChar w:fldCharType="end"/>
      </w:r>
      <w:r>
        <w:rPr>
          <w:rFonts w:hint="default" w:cstheme="minorBidi"/>
          <w:color w:val="000000" w:themeColor="text1"/>
          <w:lang w:val="en-US" w:eastAsia="zh-CN"/>
          <w14:textFill>
            <w14:solidFill>
              <w14:schemeClr w14:val="tx1"/>
            </w14:solidFill>
          </w14:textFill>
        </w:rPr>
        <w:t>，</w:t>
      </w:r>
      <w:r>
        <w:rPr>
          <w:rFonts w:hint="default" w:cstheme="minorBidi"/>
          <w:color w:val="000000" w:themeColor="text1"/>
          <w:lang w:val="en-US" w:eastAsia="zh-CN"/>
          <w14:textFill>
            <w14:solidFill>
              <w14:schemeClr w14:val="tx1"/>
            </w14:solidFill>
          </w14:textFill>
        </w:rPr>
        <w:fldChar w:fldCharType="begin"/>
      </w:r>
      <w:r>
        <w:rPr>
          <w:rFonts w:hint="default" w:cstheme="minorBidi"/>
          <w:color w:val="000000" w:themeColor="text1"/>
          <w:lang w:val="en-US" w:eastAsia="zh-CN"/>
          <w14:textFill>
            <w14:solidFill>
              <w14:schemeClr w14:val="tx1"/>
            </w14:solidFill>
          </w14:textFill>
        </w:rPr>
        <w:instrText xml:space="preserve"> HYPERLINK "https://baike.baidu.com/item/%E7%BB%8F%E5%BA%A6/1695763?fromModule=lemma_inlink" \t "https://baike.baidu.com/item/%E5%8F%82%E8%80%83%E6%A4%AD%E7%90%83/_blank" </w:instrText>
      </w:r>
      <w:r>
        <w:rPr>
          <w:rFonts w:hint="default" w:cstheme="minorBidi"/>
          <w:color w:val="000000" w:themeColor="text1"/>
          <w:lang w:val="en-US" w:eastAsia="zh-CN"/>
          <w14:textFill>
            <w14:solidFill>
              <w14:schemeClr w14:val="tx1"/>
            </w14:solidFill>
          </w14:textFill>
        </w:rPr>
        <w:fldChar w:fldCharType="separate"/>
      </w:r>
      <w:r>
        <w:rPr>
          <w:rFonts w:hint="default" w:cstheme="minorBidi"/>
          <w:color w:val="000000" w:themeColor="text1"/>
          <w:lang w:val="en-US" w:eastAsia="zh-CN"/>
          <w14:textFill>
            <w14:solidFill>
              <w14:schemeClr w14:val="tx1"/>
            </w14:solidFill>
          </w14:textFill>
        </w:rPr>
        <w:t>经度</w:t>
      </w:r>
      <w:r>
        <w:rPr>
          <w:rFonts w:hint="default" w:cstheme="minorBidi"/>
          <w:color w:val="000000" w:themeColor="text1"/>
          <w:lang w:val="en-US" w:eastAsia="zh-CN"/>
          <w14:textFill>
            <w14:solidFill>
              <w14:schemeClr w14:val="tx1"/>
            </w14:solidFill>
          </w14:textFill>
        </w:rPr>
        <w:fldChar w:fldCharType="end"/>
      </w:r>
      <w:r>
        <w:rPr>
          <w:rFonts w:hint="default" w:cstheme="minorBidi"/>
          <w:color w:val="000000" w:themeColor="text1"/>
          <w:lang w:val="en-US" w:eastAsia="zh-CN"/>
          <w14:textFill>
            <w14:solidFill>
              <w14:schemeClr w14:val="tx1"/>
            </w14:solidFill>
          </w14:textFill>
        </w:rPr>
        <w:t>和</w:t>
      </w:r>
      <w:r>
        <w:rPr>
          <w:rFonts w:hint="default" w:cstheme="minorBidi"/>
          <w:color w:val="000000" w:themeColor="text1"/>
          <w:lang w:val="en-US" w:eastAsia="zh-CN"/>
          <w14:textFill>
            <w14:solidFill>
              <w14:schemeClr w14:val="tx1"/>
            </w14:solidFill>
          </w14:textFill>
        </w:rPr>
        <w:fldChar w:fldCharType="begin"/>
      </w:r>
      <w:r>
        <w:rPr>
          <w:rFonts w:hint="default" w:cstheme="minorBidi"/>
          <w:color w:val="000000" w:themeColor="text1"/>
          <w:lang w:val="en-US" w:eastAsia="zh-CN"/>
          <w14:textFill>
            <w14:solidFill>
              <w14:schemeClr w14:val="tx1"/>
            </w14:solidFill>
          </w14:textFill>
        </w:rPr>
        <w:instrText xml:space="preserve"> HYPERLINK "https://baike.baidu.com/item/%E6%B5%B7%E6%8B%94/5754?fromModule=lemma_inlink" \t "https://baike.baidu.com/item/%E5%8F%82%E8%80%83%E6%A4%AD%E7%90%83/_blank" </w:instrText>
      </w:r>
      <w:r>
        <w:rPr>
          <w:rFonts w:hint="default" w:cstheme="minorBidi"/>
          <w:color w:val="000000" w:themeColor="text1"/>
          <w:lang w:val="en-US" w:eastAsia="zh-CN"/>
          <w14:textFill>
            <w14:solidFill>
              <w14:schemeClr w14:val="tx1"/>
            </w14:solidFill>
          </w14:textFill>
        </w:rPr>
        <w:fldChar w:fldCharType="separate"/>
      </w:r>
      <w:r>
        <w:rPr>
          <w:rFonts w:hint="default" w:cstheme="minorBidi"/>
          <w:color w:val="000000" w:themeColor="text1"/>
          <w:lang w:val="en-US" w:eastAsia="zh-CN"/>
          <w14:textFill>
            <w14:solidFill>
              <w14:schemeClr w14:val="tx1"/>
            </w14:solidFill>
          </w14:textFill>
        </w:rPr>
        <w:t>海拔</w:t>
      </w:r>
      <w:r>
        <w:rPr>
          <w:rFonts w:hint="default" w:cstheme="minorBidi"/>
          <w:color w:val="000000" w:themeColor="text1"/>
          <w:lang w:val="en-US" w:eastAsia="zh-CN"/>
          <w14:textFill>
            <w14:solidFill>
              <w14:schemeClr w14:val="tx1"/>
            </w14:solidFill>
          </w14:textFill>
        </w:rPr>
        <w:fldChar w:fldCharType="end"/>
      </w:r>
      <w:r>
        <w:rPr>
          <w:rFonts w:hint="default" w:cstheme="minorBidi"/>
          <w:color w:val="000000" w:themeColor="text1"/>
          <w:lang w:val="en-US" w:eastAsia="zh-CN"/>
          <w14:textFill>
            <w14:solidFill>
              <w14:schemeClr w14:val="tx1"/>
            </w14:solidFill>
          </w14:textFill>
        </w:rPr>
        <w:t>）的首选的地球表面的几何模型。通常所说地球的形状和大小，实际上就是以参考椭球体的长半轴、短半轴和</w:t>
      </w:r>
      <w:r>
        <w:rPr>
          <w:rFonts w:hint="default" w:cstheme="minorBidi"/>
          <w:color w:val="000000" w:themeColor="text1"/>
          <w:lang w:val="en-US" w:eastAsia="zh-CN"/>
          <w14:textFill>
            <w14:solidFill>
              <w14:schemeClr w14:val="tx1"/>
            </w14:solidFill>
          </w14:textFill>
        </w:rPr>
        <w:fldChar w:fldCharType="begin"/>
      </w:r>
      <w:r>
        <w:rPr>
          <w:rFonts w:hint="default" w:cstheme="minorBidi"/>
          <w:color w:val="000000" w:themeColor="text1"/>
          <w:lang w:val="en-US" w:eastAsia="zh-CN"/>
          <w14:textFill>
            <w14:solidFill>
              <w14:schemeClr w14:val="tx1"/>
            </w14:solidFill>
          </w14:textFill>
        </w:rPr>
        <w:instrText xml:space="preserve"> HYPERLINK "https://baike.baidu.com/item/%E6%89%81%E7%8E%87/8654862?fromModule=lemma_inlink" \t "https://baike.baidu.com/item/%E5%8F%82%E8%80%83%E6%A4%AD%E7%90%83/_blank" </w:instrText>
      </w:r>
      <w:r>
        <w:rPr>
          <w:rFonts w:hint="default" w:cstheme="minorBidi"/>
          <w:color w:val="000000" w:themeColor="text1"/>
          <w:lang w:val="en-US" w:eastAsia="zh-CN"/>
          <w14:textFill>
            <w14:solidFill>
              <w14:schemeClr w14:val="tx1"/>
            </w14:solidFill>
          </w14:textFill>
        </w:rPr>
        <w:fldChar w:fldCharType="separate"/>
      </w:r>
      <w:r>
        <w:rPr>
          <w:rFonts w:hint="default" w:cstheme="minorBidi"/>
          <w:color w:val="000000" w:themeColor="text1"/>
          <w:lang w:val="en-US" w:eastAsia="zh-CN"/>
          <w14:textFill>
            <w14:solidFill>
              <w14:schemeClr w14:val="tx1"/>
            </w14:solidFill>
          </w14:textFill>
        </w:rPr>
        <w:t>扁率</w:t>
      </w:r>
      <w:r>
        <w:rPr>
          <w:rFonts w:hint="default" w:cstheme="minorBidi"/>
          <w:color w:val="000000" w:themeColor="text1"/>
          <w:lang w:val="en-US" w:eastAsia="zh-CN"/>
          <w14:textFill>
            <w14:solidFill>
              <w14:schemeClr w14:val="tx1"/>
            </w14:solidFill>
          </w14:textFill>
        </w:rPr>
        <w:fldChar w:fldCharType="end"/>
      </w:r>
      <w:r>
        <w:rPr>
          <w:rFonts w:hint="default" w:cstheme="minorBidi"/>
          <w:color w:val="000000" w:themeColor="text1"/>
          <w:lang w:val="en-US" w:eastAsia="zh-CN"/>
          <w14:textFill>
            <w14:solidFill>
              <w14:schemeClr w14:val="tx1"/>
            </w14:solidFill>
          </w14:textFill>
        </w:rPr>
        <w:t>来表示的。</w:t>
      </w:r>
    </w:p>
    <w:p w14:paraId="59BE269C">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p>
    <w:p w14:paraId="4CA9C45A">
      <w:pPr>
        <w:widowControl/>
        <w:spacing w:line="276" w:lineRule="auto"/>
      </w:pPr>
      <w:r>
        <w:drawing>
          <wp:inline distT="0" distB="0" distL="114300" distR="114300">
            <wp:extent cx="5266690" cy="3081020"/>
            <wp:effectExtent l="0" t="0" r="635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6690" cy="3081020"/>
                    </a:xfrm>
                    <a:prstGeom prst="rect">
                      <a:avLst/>
                    </a:prstGeom>
                    <a:noFill/>
                    <a:ln>
                      <a:noFill/>
                    </a:ln>
                  </pic:spPr>
                </pic:pic>
              </a:graphicData>
            </a:graphic>
          </wp:inline>
        </w:drawing>
      </w:r>
    </w:p>
    <w:p w14:paraId="51AF7307">
      <w:pPr>
        <w:widowControl/>
        <w:spacing w:line="276" w:lineRule="auto"/>
      </w:pPr>
      <w:r>
        <w:drawing>
          <wp:inline distT="0" distB="0" distL="114300" distR="114300">
            <wp:extent cx="5266690" cy="3261995"/>
            <wp:effectExtent l="0" t="0" r="635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6690" cy="3261995"/>
                    </a:xfrm>
                    <a:prstGeom prst="rect">
                      <a:avLst/>
                    </a:prstGeom>
                    <a:noFill/>
                    <a:ln>
                      <a:noFill/>
                    </a:ln>
                  </pic:spPr>
                </pic:pic>
              </a:graphicData>
            </a:graphic>
          </wp:inline>
        </w:drawing>
      </w:r>
    </w:p>
    <w:p w14:paraId="48E57A26">
      <w:pPr>
        <w:widowControl/>
        <w:spacing w:line="276" w:lineRule="auto"/>
      </w:pPr>
    </w:p>
    <w:p w14:paraId="47E07239">
      <w:pPr>
        <w:widowControl/>
        <w:spacing w:line="276" w:lineRule="auto"/>
      </w:pPr>
    </w:p>
    <w:p w14:paraId="52689BAC">
      <w:pPr>
        <w:widowControl/>
        <w:spacing w:line="276" w:lineRule="auto"/>
      </w:pPr>
    </w:p>
    <w:p w14:paraId="78D25574">
      <w:pPr>
        <w:widowControl/>
        <w:spacing w:line="276" w:lineRule="auto"/>
      </w:pPr>
    </w:p>
    <w:p w14:paraId="61F6C578">
      <w:pPr>
        <w:widowControl/>
        <w:spacing w:line="276" w:lineRule="auto"/>
      </w:pPr>
    </w:p>
    <w:p w14:paraId="248F0721">
      <w:pPr>
        <w:widowControl/>
        <w:spacing w:line="276" w:lineRule="auto"/>
      </w:pPr>
    </w:p>
    <w:p w14:paraId="43066334">
      <w:pPr>
        <w:widowControl/>
        <w:spacing w:line="276" w:lineRule="auto"/>
      </w:pPr>
    </w:p>
    <w:p w14:paraId="5E9406C6">
      <w:pPr>
        <w:widowControl/>
        <w:spacing w:line="276" w:lineRule="auto"/>
      </w:pPr>
    </w:p>
    <w:p w14:paraId="7A453B97">
      <w:pPr>
        <w:widowControl/>
        <w:spacing w:line="276" w:lineRule="auto"/>
      </w:pPr>
    </w:p>
    <w:p w14:paraId="4061999B">
      <w:pPr>
        <w:widowControl/>
        <w:spacing w:line="276" w:lineRule="auto"/>
      </w:pPr>
    </w:p>
    <w:p w14:paraId="4120F6C6">
      <w:pPr>
        <w:widowControl/>
        <w:spacing w:line="276" w:lineRule="auto"/>
        <w:rPr>
          <w:rFonts w:hint="eastAsia" w:cstheme="minorBidi"/>
          <w:b/>
          <w:bCs/>
          <w:color w:val="000000" w:themeColor="text1"/>
          <w:sz w:val="21"/>
          <w:szCs w:val="21"/>
          <w14:textFill>
            <w14:solidFill>
              <w14:schemeClr w14:val="tx1"/>
            </w14:solidFill>
          </w14:textFill>
        </w:rPr>
      </w:pPr>
      <w:r>
        <w:rPr>
          <w:rFonts w:hint="eastAsia" w:cstheme="minorBidi"/>
          <w:b/>
          <w:bCs/>
          <w:color w:val="000000" w:themeColor="text1"/>
          <w:sz w:val="21"/>
          <w:szCs w:val="21"/>
          <w14:textFill>
            <w14:solidFill>
              <w14:schemeClr w14:val="tx1"/>
            </w14:solidFill>
          </w14:textFill>
        </w:rPr>
        <w:t>大地水准面起伏主要是由什么原因引起（回答一个最主要原因）？其变化的范围是什么？</w:t>
      </w:r>
    </w:p>
    <w:p w14:paraId="439FF502">
      <w:pPr>
        <w:widowControl/>
        <w:spacing w:line="276" w:lineRule="auto"/>
      </w:pPr>
      <w:r>
        <w:drawing>
          <wp:inline distT="0" distB="0" distL="114300" distR="114300">
            <wp:extent cx="5272405" cy="2625090"/>
            <wp:effectExtent l="0" t="0" r="63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2405" cy="2625090"/>
                    </a:xfrm>
                    <a:prstGeom prst="rect">
                      <a:avLst/>
                    </a:prstGeom>
                    <a:noFill/>
                    <a:ln>
                      <a:noFill/>
                    </a:ln>
                  </pic:spPr>
                </pic:pic>
              </a:graphicData>
            </a:graphic>
          </wp:inline>
        </w:drawing>
      </w:r>
    </w:p>
    <w:p w14:paraId="664ABFDF">
      <w:pPr>
        <w:pStyle w:val="2"/>
        <w:numPr>
          <w:ilvl w:val="0"/>
          <w:numId w:val="0"/>
        </w:numPr>
        <w:bidi w:val="0"/>
        <w:spacing w:before="0" w:after="0" w:line="360" w:lineRule="auto"/>
        <w:rPr>
          <w:rFonts w:ascii="Helvetica" w:hAnsi="Helvetica" w:eastAsia="Helvetica" w:cs="Helvetica"/>
          <w:i w:val="0"/>
          <w:iCs w:val="0"/>
          <w:caps w:val="0"/>
          <w:color w:val="333333"/>
          <w:spacing w:val="0"/>
          <w:sz w:val="21"/>
          <w:szCs w:val="21"/>
          <w:shd w:val="clear" w:fill="FFFFFF"/>
        </w:rPr>
      </w:pPr>
      <w:r>
        <w:rPr>
          <w:rFonts w:hint="eastAsia" w:cstheme="minorBidi"/>
          <w:color w:val="000000" w:themeColor="text1"/>
          <w:sz w:val="21"/>
          <w:szCs w:val="21"/>
          <w14:textFill>
            <w14:solidFill>
              <w14:schemeClr w14:val="tx1"/>
            </w14:solidFill>
          </w14:textFill>
        </w:rPr>
        <w:t>海面地形是由什么原因引起（回答三个最主要原因）？其变化的范围是什么？</w:t>
      </w:r>
    </w:p>
    <w:p w14:paraId="74B51AFC">
      <w:pPr>
        <w:bidi w:val="0"/>
        <w:spacing w:line="360" w:lineRule="auto"/>
        <w:ind w:firstLine="420" w:firstLineChars="200"/>
        <w:rPr>
          <w:rFonts w:hint="eastAsia" w:cstheme="minorBidi"/>
          <w:color w:val="000000" w:themeColor="text1"/>
          <w:lang w:eastAsia="zh-CN"/>
          <w14:textFill>
            <w14:solidFill>
              <w14:schemeClr w14:val="tx1"/>
            </w14:solidFill>
          </w14:textFill>
        </w:rPr>
      </w:pPr>
      <w:r>
        <w:rPr>
          <w:rFonts w:hint="eastAsia" w:cstheme="minorBidi"/>
          <w:color w:val="000000" w:themeColor="text1"/>
          <w:lang w:eastAsia="zh-CN"/>
          <w14:textFill>
            <w14:solidFill>
              <w14:schemeClr w14:val="tx1"/>
            </w14:solidFill>
          </w14:textFill>
        </w:rPr>
        <w:t>海面地形是平均海面相对于大地水准面的起伏。此为沿袭陆地上相应的名称引申而来，是非潮汛因素引起的平均海面的变化。</w:t>
      </w:r>
    </w:p>
    <w:p w14:paraId="6B499282">
      <w:pPr>
        <w:bidi w:val="0"/>
        <w:spacing w:line="360" w:lineRule="auto"/>
        <w:rPr>
          <w:rFonts w:hint="default" w:cstheme="minorBidi"/>
          <w:b/>
          <w:bCs/>
          <w:color w:val="000000" w:themeColor="text1"/>
          <w:lang w:val="en-US" w:eastAsia="zh-CN"/>
          <w14:textFill>
            <w14:solidFill>
              <w14:schemeClr w14:val="tx1"/>
            </w14:solidFill>
          </w14:textFill>
        </w:rPr>
      </w:pPr>
      <w:r>
        <w:rPr>
          <w:rFonts w:hint="eastAsia" w:cstheme="minorBidi"/>
          <w:b/>
          <w:bCs/>
          <w:color w:val="000000" w:themeColor="text1"/>
          <w:lang w:val="en-US" w:eastAsia="zh-CN"/>
          <w14:textFill>
            <w14:solidFill>
              <w14:schemeClr w14:val="tx1"/>
            </w14:solidFill>
          </w14:textFill>
        </w:rPr>
        <w:t>形成机制：</w:t>
      </w:r>
    </w:p>
    <w:p w14:paraId="0465413E">
      <w:pPr>
        <w:bidi w:val="0"/>
        <w:spacing w:line="360" w:lineRule="auto"/>
        <w:ind w:firstLine="420" w:firstLineChars="200"/>
        <w:rPr>
          <w:rFonts w:hint="default" w:cstheme="minorBidi"/>
          <w:color w:val="000000" w:themeColor="text1"/>
          <w:lang w:eastAsia="zh-CN"/>
          <w14:textFill>
            <w14:solidFill>
              <w14:schemeClr w14:val="tx1"/>
            </w14:solidFill>
          </w14:textFill>
        </w:rPr>
      </w:pPr>
      <w:r>
        <w:rPr>
          <w:rFonts w:hint="eastAsia" w:cstheme="minorBidi"/>
          <w:color w:val="000000" w:themeColor="text1"/>
          <w:lang w:eastAsia="zh-CN"/>
          <w14:textFill>
            <w14:solidFill>
              <w14:schemeClr w14:val="tx1"/>
            </w14:solidFill>
          </w14:textFill>
        </w:rPr>
        <w:t>海洋水文因素、大气压力</w:t>
      </w:r>
      <w:r>
        <w:rPr>
          <w:rFonts w:hint="default" w:cstheme="minorBidi"/>
          <w:color w:val="000000" w:themeColor="text1"/>
          <w:lang w:eastAsia="zh-CN"/>
          <w14:textFill>
            <w14:solidFill>
              <w14:schemeClr w14:val="tx1"/>
            </w14:solidFill>
          </w14:textFill>
        </w:rPr>
        <w:t>影响</w:t>
      </w:r>
      <w:r>
        <w:rPr>
          <w:rFonts w:hint="eastAsia" w:cstheme="minorBidi"/>
          <w:color w:val="000000" w:themeColor="text1"/>
          <w:lang w:eastAsia="zh-CN"/>
          <w14:textFill>
            <w14:solidFill>
              <w14:schemeClr w14:val="tx1"/>
            </w14:solidFill>
          </w14:textFill>
        </w:rPr>
        <w:t>、</w:t>
      </w:r>
      <w:r>
        <w:rPr>
          <w:rFonts w:hint="eastAsia" w:cstheme="minorBidi"/>
          <w:color w:val="000000" w:themeColor="text1"/>
          <w:lang w:val="en-US" w:eastAsia="zh-CN"/>
          <w14:textFill>
            <w14:solidFill>
              <w14:schemeClr w14:val="tx1"/>
            </w14:solidFill>
          </w14:textFill>
        </w:rPr>
        <w:t>大洋环</w:t>
      </w:r>
      <w:r>
        <w:rPr>
          <w:rFonts w:hint="default" w:cstheme="minorBidi"/>
          <w:color w:val="000000" w:themeColor="text1"/>
          <w:lang w:eastAsia="zh-CN"/>
          <w14:textFill>
            <w14:solidFill>
              <w14:schemeClr w14:val="tx1"/>
            </w14:solidFill>
          </w14:textFill>
        </w:rPr>
        <w:t>流影响及纬度不同</w:t>
      </w:r>
    </w:p>
    <w:p w14:paraId="6239E8BE">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eastAsia="zh-CN"/>
          <w14:textFill>
            <w14:solidFill>
              <w14:schemeClr w14:val="tx1"/>
            </w14:solidFill>
          </w14:textFill>
        </w:rPr>
        <w:t>海水密度的不同是造成海面地形高程差异的主要因素；气压的均衡效应</w:t>
      </w:r>
      <w:r>
        <w:rPr>
          <w:rFonts w:hint="eastAsia" w:cstheme="minorBidi"/>
          <w:color w:val="000000" w:themeColor="text1"/>
          <w:lang w:val="en-US" w:eastAsia="zh-CN"/>
          <w14:textFill>
            <w14:solidFill>
              <w14:schemeClr w14:val="tx1"/>
            </w14:solidFill>
          </w14:textFill>
        </w:rPr>
        <w:t>和</w:t>
      </w:r>
      <w:r>
        <w:rPr>
          <w:rFonts w:hint="eastAsia" w:cstheme="minorBidi"/>
          <w:color w:val="000000" w:themeColor="text1"/>
          <w:lang w:eastAsia="zh-CN"/>
          <w14:textFill>
            <w14:solidFill>
              <w14:schemeClr w14:val="tx1"/>
            </w14:solidFill>
          </w14:textFill>
        </w:rPr>
        <w:t>气压的</w:t>
      </w:r>
      <w:r>
        <w:rPr>
          <w:rFonts w:hint="eastAsia" w:cstheme="minorBidi"/>
          <w:color w:val="000000" w:themeColor="text1"/>
          <w:lang w:val="en-US" w:eastAsia="zh-CN"/>
          <w14:textFill>
            <w14:solidFill>
              <w14:schemeClr w14:val="tx1"/>
            </w14:solidFill>
          </w14:textFill>
        </w:rPr>
        <w:t>非</w:t>
      </w:r>
      <w:r>
        <w:rPr>
          <w:rFonts w:hint="eastAsia" w:cstheme="minorBidi"/>
          <w:color w:val="000000" w:themeColor="text1"/>
          <w:lang w:eastAsia="zh-CN"/>
          <w14:textFill>
            <w14:solidFill>
              <w14:schemeClr w14:val="tx1"/>
            </w14:solidFill>
          </w14:textFill>
        </w:rPr>
        <w:t>均衡效应；</w:t>
      </w:r>
      <w:r>
        <w:rPr>
          <w:rFonts w:hint="eastAsia" w:cstheme="minorBidi"/>
          <w:color w:val="000000" w:themeColor="text1"/>
          <w:lang w:val="en-US" w:eastAsia="zh-CN"/>
          <w14:textFill>
            <w14:solidFill>
              <w14:schemeClr w14:val="tx1"/>
            </w14:solidFill>
          </w14:textFill>
        </w:rPr>
        <w:t>大洋环流</w:t>
      </w:r>
    </w:p>
    <w:p w14:paraId="6013AF00">
      <w:pPr>
        <w:bidi w:val="0"/>
        <w:spacing w:line="360" w:lineRule="auto"/>
        <w:ind w:firstLine="420" w:firstLineChars="200"/>
        <w:rPr>
          <w:rFonts w:hint="default" w:cstheme="minorBidi"/>
          <w:color w:val="000000" w:themeColor="text1"/>
          <w:lang w:val="en-US" w:eastAsia="zh-CN"/>
          <w14:textFill>
            <w14:solidFill>
              <w14:schemeClr w14:val="tx1"/>
            </w14:solidFill>
          </w14:textFill>
        </w:rPr>
      </w:pPr>
      <w:r>
        <w:rPr>
          <w:rFonts w:hint="eastAsia" w:cstheme="minorBidi"/>
          <w:color w:val="000000" w:themeColor="text1"/>
          <w:lang w:eastAsia="zh-CN"/>
          <w14:textFill>
            <w14:solidFill>
              <w14:schemeClr w14:val="tx1"/>
            </w14:solidFill>
          </w14:textFill>
        </w:rPr>
        <w:t>按</w:t>
      </w:r>
      <w:r>
        <w:rPr>
          <w:rFonts w:hint="default" w:cstheme="minorBidi"/>
          <w:color w:val="000000" w:themeColor="text1"/>
          <w:lang w:eastAsia="zh-CN"/>
          <w14:textFill>
            <w14:solidFill>
              <w14:schemeClr w14:val="tx1"/>
            </w14:solidFill>
          </w14:textFill>
        </w:rPr>
        <w:fldChar w:fldCharType="begin"/>
      </w:r>
      <w:r>
        <w:rPr>
          <w:rFonts w:hint="default" w:cstheme="minorBidi"/>
          <w:color w:val="000000" w:themeColor="text1"/>
          <w:lang w:eastAsia="zh-CN"/>
          <w14:textFill>
            <w14:solidFill>
              <w14:schemeClr w14:val="tx1"/>
            </w14:solidFill>
          </w14:textFill>
        </w:rPr>
        <w:instrText xml:space="preserve"> HYPERLINK "https://baike.baidu.com/item/%E5%A4%A7%E5%9C%B0%E6%B5%8B%E9%87%8F%E5%AD%A6/796933?fromModule=lemma_inlink" \t "https://baike.baidu.com/item/%E6%B5%B7%E9%9D%A2%E5%9C%B0%E5%BD%A2/_blank" </w:instrText>
      </w:r>
      <w:r>
        <w:rPr>
          <w:rFonts w:hint="default" w:cstheme="minorBidi"/>
          <w:color w:val="000000" w:themeColor="text1"/>
          <w:lang w:eastAsia="zh-CN"/>
          <w14:textFill>
            <w14:solidFill>
              <w14:schemeClr w14:val="tx1"/>
            </w14:solidFill>
          </w14:textFill>
        </w:rPr>
        <w:fldChar w:fldCharType="separate"/>
      </w:r>
      <w:r>
        <w:rPr>
          <w:rFonts w:hint="default" w:cstheme="minorBidi"/>
          <w:color w:val="000000" w:themeColor="text1"/>
          <w:lang w:eastAsia="zh-CN"/>
          <w14:textFill>
            <w14:solidFill>
              <w14:schemeClr w14:val="tx1"/>
            </w14:solidFill>
          </w14:textFill>
        </w:rPr>
        <w:t>大地测量学</w:t>
      </w:r>
      <w:r>
        <w:rPr>
          <w:rFonts w:hint="default" w:cstheme="minorBidi"/>
          <w:color w:val="000000" w:themeColor="text1"/>
          <w:lang w:eastAsia="zh-CN"/>
          <w14:textFill>
            <w14:solidFill>
              <w14:schemeClr w14:val="tx1"/>
            </w14:solidFill>
          </w14:textFill>
        </w:rPr>
        <w:fldChar w:fldCharType="end"/>
      </w:r>
      <w:r>
        <w:rPr>
          <w:rFonts w:hint="default" w:cstheme="minorBidi"/>
          <w:color w:val="000000" w:themeColor="text1"/>
          <w:lang w:eastAsia="zh-CN"/>
          <w14:textFill>
            <w14:solidFill>
              <w14:schemeClr w14:val="tx1"/>
            </w14:solidFill>
          </w14:textFill>
        </w:rPr>
        <w:t>的传统观点，认为平均海面与大地水准面吻合，但实际两者之间存在差异，其值可达3～4米，此差异即海面地形。</w:t>
      </w:r>
    </w:p>
    <w:p w14:paraId="228B4645">
      <w:pPr>
        <w:widowControl/>
        <w:spacing w:line="276" w:lineRule="auto"/>
      </w:pPr>
    </w:p>
    <w:p w14:paraId="0D134E30">
      <w:pPr>
        <w:widowControl/>
        <w:spacing w:line="276" w:lineRule="auto"/>
      </w:pPr>
      <w:r>
        <w:rPr>
          <w:rFonts w:asciiTheme="minorEastAsia" w:hAnsiTheme="minorEastAsia" w:eastAsiaTheme="minorEastAsia"/>
          <w:b/>
          <w:bCs/>
          <w:color w:val="000000"/>
          <w:kern w:val="0"/>
          <w:sz w:val="24"/>
        </w:rPr>
        <w:t>2.</w:t>
      </w:r>
      <w:r>
        <w:rPr>
          <w:rFonts w:hint="eastAsia" w:ascii="Times New Roman" w:hAnsi="Times New Roman" w:eastAsia="宋体" w:cstheme="minorBidi"/>
          <w:b/>
          <w:color w:val="000000" w:themeColor="text1"/>
          <w:kern w:val="44"/>
          <w:sz w:val="24"/>
          <w:szCs w:val="24"/>
          <w:lang w:val="en-US" w:eastAsia="zh-CN" w:bidi="ar-SA"/>
          <w14:textFill>
            <w14:solidFill>
              <w14:schemeClr w14:val="tx1"/>
            </w14:solidFill>
          </w14:textFill>
        </w:rPr>
        <w:t>卫星到海面距离如何测得？Topex/Poseidon测量海平面高度的精度可达多少？海面地形异常可用什么公式计算？</w:t>
      </w:r>
    </w:p>
    <w:p w14:paraId="1B4D77F4">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卫星通过测量电磁波从卫星发射到海面反射的时间差，计算卫星到海面距离：</w:t>
      </w:r>
    </w:p>
    <w:p w14:paraId="387B5C09">
      <w:pPr>
        <w:bidi w:val="0"/>
        <w:spacing w:line="360" w:lineRule="auto"/>
        <w:ind w:firstLine="420" w:firstLineChars="200"/>
        <w:jc w:val="center"/>
        <w:rPr>
          <w:rFonts w:hint="default" w:cstheme="minorBidi"/>
          <w:color w:val="000000" w:themeColor="text1"/>
          <w:lang w:val="en-US" w:eastAsia="zh-CN"/>
          <w14:textFill>
            <w14:solidFill>
              <w14:schemeClr w14:val="tx1"/>
            </w14:solidFill>
          </w14:textFill>
        </w:rPr>
      </w:pPr>
      <w:r>
        <w:rPr>
          <w:rFonts w:hint="default" w:cstheme="minorBidi"/>
          <w:color w:val="000000" w:themeColor="text1"/>
          <w:lang w:val="en-US" w:eastAsia="zh-CN"/>
          <w14:textFill>
            <w14:solidFill>
              <w14:schemeClr w14:val="tx1"/>
            </w14:solidFill>
          </w14:textFill>
        </w:rPr>
        <w:object>
          <v:shape id="_x0000_i1026" o:spt="75" type="#_x0000_t75" style="height:31pt;width:45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p>
    <w:p w14:paraId="34986DE2">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default" w:cstheme="minorBidi"/>
          <w:color w:val="000000" w:themeColor="text1"/>
          <w:lang w:val="en-US" w:eastAsia="zh-CN"/>
          <w14:textFill>
            <w14:solidFill>
              <w14:schemeClr w14:val="tx1"/>
            </w14:solidFill>
          </w14:textFill>
        </w:rPr>
        <w:object>
          <v:shape id="_x0000_i1027" o:spt="75" type="#_x0000_t75" style="height:13pt;width:13.95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cstheme="minorBidi"/>
          <w:color w:val="000000" w:themeColor="text1"/>
          <w:lang w:val="en-US" w:eastAsia="zh-CN"/>
          <w14:textFill>
            <w14:solidFill>
              <w14:schemeClr w14:val="tx1"/>
            </w14:solidFill>
          </w14:textFill>
        </w:rPr>
        <w:t>是卫星到海面距离，</w:t>
      </w:r>
      <w:r>
        <w:rPr>
          <w:rFonts w:hint="default" w:cstheme="minorBidi"/>
          <w:color w:val="000000" w:themeColor="text1"/>
          <w:lang w:val="en-US" w:eastAsia="zh-CN"/>
          <w14:textFill>
            <w14:solidFill>
              <w14:schemeClr w14:val="tx1"/>
            </w14:solidFill>
          </w14:textFill>
        </w:rPr>
        <w:object>
          <v:shape id="_x0000_i1028" o:spt="75" type="#_x0000_t75" style="height:11pt;width:9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cstheme="minorBidi"/>
          <w:color w:val="000000" w:themeColor="text1"/>
          <w:lang w:val="en-US" w:eastAsia="zh-CN"/>
          <w14:textFill>
            <w14:solidFill>
              <w14:schemeClr w14:val="tx1"/>
            </w14:solidFill>
          </w14:textFill>
        </w:rPr>
        <w:t>光速，</w:t>
      </w:r>
      <w:r>
        <w:rPr>
          <w:rFonts w:hint="default" w:cstheme="minorBidi"/>
          <w:color w:val="000000" w:themeColor="text1"/>
          <w:lang w:val="en-US" w:eastAsia="zh-CN"/>
          <w14:textFill>
            <w14:solidFill>
              <w14:schemeClr w14:val="tx1"/>
            </w14:solidFill>
          </w14:textFill>
        </w:rPr>
        <w:object>
          <v:shape id="_x0000_i1029" o:spt="75" type="#_x0000_t75" style="height:13.95pt;width:15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r>
        <w:rPr>
          <w:rFonts w:hint="eastAsia" w:cstheme="minorBidi"/>
          <w:color w:val="000000" w:themeColor="text1"/>
          <w:lang w:val="en-US" w:eastAsia="zh-CN"/>
          <w14:textFill>
            <w14:solidFill>
              <w14:schemeClr w14:val="tx1"/>
            </w14:solidFill>
          </w14:textFill>
        </w:rPr>
        <w:t>信号往返时间</w:t>
      </w:r>
    </w:p>
    <w:p w14:paraId="370EB746">
      <w:pPr>
        <w:bidi w:val="0"/>
        <w:spacing w:line="360" w:lineRule="auto"/>
        <w:rPr>
          <w:rFonts w:hint="default" w:cstheme="minorBidi"/>
          <w:color w:val="000000" w:themeColor="text1"/>
          <w:lang w:val="en-US" w:eastAsia="zh-CN"/>
          <w14:textFill>
            <w14:solidFill>
              <w14:schemeClr w14:val="tx1"/>
            </w14:solidFill>
          </w14:textFill>
        </w:rPr>
      </w:pPr>
    </w:p>
    <w:p w14:paraId="149D2D59">
      <w:pPr>
        <w:bidi w:val="0"/>
        <w:spacing w:line="360" w:lineRule="auto"/>
        <w:ind w:firstLine="420" w:firstLineChars="200"/>
        <w:rPr>
          <w:rFonts w:hint="default"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Topex/Poseidon测量海平面高度的测高精度达到10厘米(4英寸)以内。</w:t>
      </w:r>
    </w:p>
    <w:p w14:paraId="51E97D57">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p>
    <w:p w14:paraId="27C117E6">
      <w:pPr>
        <w:bidi w:val="0"/>
        <w:spacing w:line="360" w:lineRule="auto"/>
        <w:rPr>
          <w:rFonts w:hint="eastAsia" w:cstheme="minorBidi"/>
          <w:color w:val="000000" w:themeColor="text1"/>
          <w:lang w:val="en-US" w:eastAsia="zh-CN"/>
          <w14:textFill>
            <w14:solidFill>
              <w14:schemeClr w14:val="tx1"/>
            </w14:solidFill>
          </w14:textFill>
        </w:rPr>
      </w:pPr>
      <w:r>
        <w:rPr>
          <w:rFonts w:hint="eastAsia" w:ascii="Times New Roman" w:hAnsi="Times New Roman" w:eastAsia="宋体" w:cstheme="minorBidi"/>
          <w:b/>
          <w:color w:val="000000" w:themeColor="text1"/>
          <w:kern w:val="44"/>
          <w:sz w:val="24"/>
          <w:szCs w:val="24"/>
          <w:lang w:val="en-US" w:eastAsia="zh-CN" w:bidi="ar-SA"/>
          <w14:textFill>
            <w14:solidFill>
              <w14:schemeClr w14:val="tx1"/>
            </w14:solidFill>
          </w14:textFill>
        </w:rPr>
        <w:t>海面地形异常可用什么公式计算？</w:t>
      </w:r>
    </w:p>
    <w:p w14:paraId="27FD91D2">
      <w:pPr>
        <w:widowControl/>
        <w:spacing w:line="276" w:lineRule="auto"/>
        <w:rPr>
          <w:rFonts w:hint="eastAsia" w:asciiTheme="minorEastAsia" w:hAnsiTheme="minorEastAsia" w:eastAsiaTheme="minorEastAsia"/>
          <w:color w:val="000000"/>
          <w:kern w:val="0"/>
          <w:sz w:val="24"/>
        </w:rPr>
      </w:pPr>
    </w:p>
    <w:p w14:paraId="7631B5E0">
      <w:pPr>
        <w:pStyle w:val="2"/>
        <w:numPr>
          <w:ilvl w:val="0"/>
          <w:numId w:val="0"/>
        </w:numPr>
        <w:bidi w:val="0"/>
        <w:spacing w:before="0" w:after="0" w:line="360" w:lineRule="auto"/>
      </w:pPr>
      <w:r>
        <w:rPr>
          <w:rFonts w:hint="eastAsia" w:cstheme="minorBidi"/>
          <w:color w:val="000000" w:themeColor="text1"/>
          <w14:textFill>
            <w14:solidFill>
              <w14:schemeClr w14:val="tx1"/>
            </w14:solidFill>
          </w14:textFill>
        </w:rPr>
        <w:t>3.计算地球同步轨道卫星的近似高度和太阳同步轨道卫星的近似高度。列出万有引力定律与牛顿第二定律的公式。并列出角速度与旋转周期的关系式。</w:t>
      </w:r>
    </w:p>
    <w:p w14:paraId="3253ECB5">
      <w:pPr>
        <w:numPr>
          <w:ilvl w:val="0"/>
          <w:numId w:val="0"/>
        </w:numPr>
        <w:rPr>
          <w:b/>
          <w:bCs/>
        </w:rPr>
      </w:pPr>
    </w:p>
    <w:p w14:paraId="78B766C6">
      <w:pPr>
        <w:numPr>
          <w:ilvl w:val="0"/>
          <w:numId w:val="0"/>
        </w:numPr>
        <w:rPr>
          <w:b/>
          <w:bCs/>
        </w:rPr>
      </w:pPr>
      <w:r>
        <w:rPr>
          <w:b/>
          <w:bCs/>
        </w:rPr>
        <w:t>地球同步轨道卫星高度计算</w:t>
      </w:r>
    </w:p>
    <w:p w14:paraId="2B1532CA">
      <w:pPr>
        <w:numPr>
          <w:ilvl w:val="0"/>
          <w:numId w:val="1"/>
        </w:numPr>
      </w:pPr>
      <w:r>
        <w:t xml:space="preserve">对于地球同步轨道卫星，其运行周期 </w:t>
      </w:r>
      <m:oMath>
        <m:r>
          <m:rPr/>
          <m:t>T</m:t>
        </m:r>
      </m:oMath>
      <w:r>
        <w:t xml:space="preserve"> 与地球自转周期相同， </w:t>
      </w:r>
      <m:oMath>
        <m:r>
          <m:rPr/>
          <m:t>T</m:t>
        </m:r>
        <m:r>
          <m:rPr>
            <m:sty m:val="p"/>
          </m:rPr>
          <m:t>=24</m:t>
        </m:r>
        <m:r>
          <m:rPr/>
          <m:t>ℎ</m:t>
        </m:r>
        <m:r>
          <m:rPr>
            <m:sty m:val="p"/>
          </m:rPr>
          <m:t>=24×</m:t>
        </m:r>
      </m:oMath>
      <w:r>
        <w:t xml:space="preserve"> </w:t>
      </w:r>
      <m:oMath>
        <m:r>
          <m:rPr>
            <m:sty m:val="p"/>
          </m:rPr>
          <m:t>3600 s=86400 s</m:t>
        </m:r>
      </m:oMath>
      <w:r>
        <w:t xml:space="preserve"> 。</w:t>
      </w:r>
    </w:p>
    <w:p w14:paraId="2F4BBEE1">
      <w:pPr>
        <w:numPr>
          <w:ilvl w:val="0"/>
          <w:numId w:val="1"/>
        </w:numPr>
      </w:pPr>
      <w:r>
        <w:t xml:space="preserve">根据万有引力定律 </w:t>
      </w:r>
      <m:oMath>
        <m:r>
          <m:rPr/>
          <m:t>F</m:t>
        </m:r>
        <m:r>
          <m:rPr>
            <m:sty m:val="p"/>
          </m:rPr>
          <m:t>=</m:t>
        </m:r>
        <m:r>
          <m:rPr/>
          <m:t>G</m:t>
        </m:r>
        <m:f>
          <m:fPr>
            <m:ctrlPr>
              <w:rPr>
                <w:rFonts w:ascii="Cambria Math" w:hAnsi="Cambria Math"/>
              </w:rPr>
            </m:ctrlPr>
          </m:fPr>
          <m:num>
            <m:r>
              <m:rPr/>
              <m:t>Mm</m:t>
            </m:r>
            <m:ctrlPr>
              <w:rPr>
                <w:rFonts w:ascii="Cambria Math" w:hAnsi="Cambria Math"/>
              </w:rPr>
            </m:ctrlPr>
          </m:num>
          <m:den>
            <m:sSup>
              <m:sSupPr/>
              <m:e>
                <m:r>
                  <m:rPr/>
                  <m:t>r</m:t>
                </m:r>
              </m:e>
              <m:sup>
                <m:r>
                  <m:rPr>
                    <m:sty m:val="p"/>
                  </m:rPr>
                  <m:t>2</m:t>
                </m:r>
              </m:sup>
            </m:sSup>
            <m:ctrlPr>
              <w:rPr>
                <w:rFonts w:ascii="Cambria Math" w:hAnsi="Cambria Math"/>
              </w:rPr>
            </m:ctrlPr>
          </m:den>
        </m:f>
      </m:oMath>
      <w:r>
        <w:t xml:space="preserve"> （其中 </w:t>
      </w:r>
      <m:oMath>
        <m:r>
          <m:rPr/>
          <m:t>G</m:t>
        </m:r>
      </m:oMath>
      <w:r>
        <w:t xml:space="preserve"> 为引力常量， </w:t>
      </w:r>
      <m:oMath>
        <m:r>
          <m:rPr/>
          <m:t>G</m:t>
        </m:r>
        <m:r>
          <m:rPr>
            <m:sty m:val="p"/>
          </m:rPr>
          <m:t>=6.67×</m:t>
        </m:r>
        <m:sSup>
          <m:sSupPr/>
          <m:e>
            <m:r>
              <m:rPr>
                <m:sty m:val="p"/>
              </m:rPr>
              <m:t>10</m:t>
            </m:r>
          </m:e>
          <m:sup>
            <m:r>
              <m:rPr>
                <m:sty m:val="p"/>
              </m:rPr>
              <m:t>−11</m:t>
            </m:r>
          </m:sup>
        </m:sSup>
        <m:r>
          <m:rPr/>
          <m:t>N</m:t>
        </m:r>
        <m:r>
          <m:rPr>
            <m:sty m:val="p"/>
          </m:rPr>
          <m:t>⋅</m:t>
        </m:r>
        <m:sSup>
          <m:sSupPr/>
          <m:e>
            <m:r>
              <m:rPr/>
              <m:t>m</m:t>
            </m:r>
          </m:e>
          <m:sup>
            <m:r>
              <m:rPr>
                <m:sty m:val="p"/>
              </m:rPr>
              <m:t>2</m:t>
            </m:r>
          </m:sup>
        </m:sSup>
        <m:r>
          <m:rPr>
            <m:sty m:val="p"/>
          </m:rPr>
          <m:t>/</m:t>
        </m:r>
        <m:sSup>
          <m:sSupPr/>
          <m:e>
            <m:r>
              <m:rPr/>
              <m:t>k</m:t>
            </m:r>
          </m:e>
          <m:sup>
            <m:r>
              <m:rPr>
                <m:sty m:val="p"/>
              </m:rPr>
              <m:t>2</m:t>
            </m:r>
          </m:sup>
        </m:sSup>
      </m:oMath>
      <w:r>
        <w:t xml:space="preserve"> ， </w:t>
      </w:r>
      <m:oMath>
        <m:r>
          <m:rPr/>
          <m:t>M</m:t>
        </m:r>
      </m:oMath>
      <w:r>
        <w:t xml:space="preserve"> 为地球质量， </w:t>
      </w:r>
      <m:oMath>
        <m:r>
          <m:rPr/>
          <m:t>M</m:t>
        </m:r>
        <m:r>
          <m:rPr>
            <m:sty m:val="p"/>
          </m:rPr>
          <m:t>=5.97×</m:t>
        </m:r>
        <m:sSup>
          <m:sSupPr/>
          <m:e>
            <m:r>
              <m:rPr>
                <m:sty m:val="p"/>
              </m:rPr>
              <m:t>10</m:t>
            </m:r>
          </m:e>
          <m:sup>
            <m:r>
              <m:rPr>
                <m:sty m:val="p"/>
              </m:rPr>
              <m:t>24</m:t>
            </m:r>
          </m:sup>
        </m:sSup>
        <m:r>
          <m:rPr>
            <m:nor/>
            <m:sty m:val="p"/>
          </m:rPr>
          <w:rPr>
            <w:b w:val="0"/>
            <w:i w:val="0"/>
          </w:rPr>
          <m:t xml:space="preserve"> kg,</m:t>
        </m:r>
        <m:r>
          <m:rPr/>
          <m:t>m</m:t>
        </m:r>
      </m:oMath>
      <w:r>
        <w:t xml:space="preserve"> 为卫星质量， </w:t>
      </w:r>
      <m:oMath>
        <m:r>
          <m:rPr/>
          <m:t>r</m:t>
        </m:r>
      </m:oMath>
      <w:r>
        <w:t xml:space="preserve"> 为卫星到地心的距离）和牛顿第二定律 </w:t>
      </w:r>
      <m:oMath>
        <m:r>
          <m:rPr/>
          <m:t>F</m:t>
        </m:r>
        <m:r>
          <m:rPr>
            <m:sty m:val="p"/>
          </m:rPr>
          <m:t>=</m:t>
        </m:r>
        <m:r>
          <m:rPr/>
          <m:t>ma</m:t>
        </m:r>
      </m:oMath>
      <w:r>
        <w:t xml:space="preserve"> 。</w:t>
      </w:r>
    </w:p>
    <w:p w14:paraId="77627226">
      <w:pPr>
        <w:numPr>
          <w:ilvl w:val="0"/>
          <w:numId w:val="1"/>
        </w:numPr>
      </w:pPr>
      <w:r>
        <w:t xml:space="preserve">在圆周运动中，卫星的向心加速度 </w:t>
      </w:r>
      <m:oMath>
        <m:r>
          <m:rPr/>
          <m:t>a</m:t>
        </m:r>
        <m:r>
          <m:rPr>
            <m:sty m:val="p"/>
          </m:rPr>
          <m:t>=</m:t>
        </m:r>
        <m:sSup>
          <m:sSupPr/>
          <m:e>
            <m:r>
              <m:rPr/>
              <m:t>ω</m:t>
            </m:r>
          </m:e>
          <m:sup>
            <m:r>
              <m:rPr>
                <m:sty m:val="p"/>
              </m:rPr>
              <m:t>2</m:t>
            </m:r>
          </m:sup>
        </m:sSup>
        <m:r>
          <m:rPr/>
          <m:t>r</m:t>
        </m:r>
      </m:oMath>
      <w:r>
        <w:t xml:space="preserve"> ，其中 </w:t>
      </w:r>
      <m:oMath>
        <m:r>
          <m:rPr/>
          <m:t>ω</m:t>
        </m:r>
        <m:r>
          <m:rPr>
            <m:sty m:val="p"/>
          </m:rPr>
          <m:t>=</m:t>
        </m:r>
        <m:f>
          <m:fPr>
            <m:ctrlPr>
              <w:rPr>
                <w:rFonts w:ascii="Cambria Math" w:hAnsi="Cambria Math"/>
              </w:rPr>
            </m:ctrlPr>
          </m:fPr>
          <m:num>
            <m:r>
              <m:rPr>
                <m:sty m:val="p"/>
              </m:rPr>
              <m:t>2</m:t>
            </m:r>
            <m:r>
              <m:rPr/>
              <m:t>π</m:t>
            </m:r>
            <m:ctrlPr>
              <w:rPr>
                <w:rFonts w:ascii="Cambria Math" w:hAnsi="Cambria Math"/>
              </w:rPr>
            </m:ctrlPr>
          </m:num>
          <m:den>
            <m:r>
              <m:rPr/>
              <m:t>T</m:t>
            </m:r>
            <m:ctrlPr>
              <w:rPr>
                <w:rFonts w:ascii="Cambria Math" w:hAnsi="Cambria Math"/>
              </w:rPr>
            </m:ctrlPr>
          </m:den>
        </m:f>
      </m:oMath>
      <w:r>
        <w:t xml:space="preserve"> 。</w:t>
      </w:r>
    </w:p>
    <w:p w14:paraId="13516C17">
      <w:pPr>
        <w:numPr>
          <w:ilvl w:val="0"/>
          <w:numId w:val="1"/>
        </w:numPr>
      </w:pPr>
      <w:r>
        <w:t xml:space="preserve">由万有引力提供向心力可得 </w:t>
      </w:r>
      <m:oMath>
        <m:r>
          <m:rPr/>
          <m:t>G</m:t>
        </m:r>
        <m:f>
          <m:fPr>
            <m:ctrlPr>
              <w:rPr>
                <w:rFonts w:ascii="Cambria Math" w:hAnsi="Cambria Math"/>
              </w:rPr>
            </m:ctrlPr>
          </m:fPr>
          <m:num>
            <m:r>
              <m:rPr/>
              <m:t>Mm</m:t>
            </m:r>
            <m:ctrlPr>
              <w:rPr>
                <w:rFonts w:ascii="Cambria Math" w:hAnsi="Cambria Math"/>
              </w:rPr>
            </m:ctrlPr>
          </m:num>
          <m:den>
            <m:sSup>
              <m:sSupPr/>
              <m:e>
                <m:r>
                  <m:rPr/>
                  <m:t>r</m:t>
                </m:r>
              </m:e>
              <m:sup>
                <m:r>
                  <m:rPr>
                    <m:sty m:val="p"/>
                  </m:rPr>
                  <m:t>2</m:t>
                </m:r>
              </m:sup>
            </m:sSup>
            <m:ctrlPr>
              <w:rPr>
                <w:rFonts w:ascii="Cambria Math" w:hAnsi="Cambria Math"/>
              </w:rPr>
            </m:ctrlPr>
          </m:den>
        </m:f>
        <m:r>
          <m:rPr>
            <m:sty m:val="p"/>
          </m:rPr>
          <m:t>=</m:t>
        </m:r>
        <m:r>
          <m:rPr/>
          <m:t>m</m:t>
        </m:r>
        <m:sSup>
          <m:sSupPr/>
          <m:e>
            <m:r>
              <m:rPr/>
              <m:t>ω</m:t>
            </m:r>
          </m:e>
          <m:sup>
            <m:r>
              <m:rPr>
                <m:sty m:val="p"/>
              </m:rPr>
              <m:t>2</m:t>
            </m:r>
          </m:sup>
        </m:sSup>
        <m:r>
          <m:rPr/>
          <m:t>r</m:t>
        </m:r>
        <m:r>
          <m:rPr>
            <m:sty m:val="p"/>
          </m:rPr>
          <m:t>=</m:t>
        </m:r>
        <m:r>
          <m:rPr/>
          <m:t>m</m:t>
        </m:r>
        <m:sSup>
          <m:sSupPr/>
          <m:e>
            <m:d>
              <m:dPr>
                <m:ctrlPr>
                  <w:rPr>
                    <w:rFonts w:ascii="Cambria Math" w:hAnsi="Cambria Math"/>
                  </w:rPr>
                </m:ctrlPr>
              </m:dPr>
              <m:e>
                <m:f>
                  <m:fPr>
                    <m:ctrlPr>
                      <w:rPr>
                        <w:rFonts w:ascii="Cambria Math" w:hAnsi="Cambria Math"/>
                      </w:rPr>
                    </m:ctrlPr>
                  </m:fPr>
                  <m:num>
                    <m:r>
                      <m:rPr>
                        <m:sty m:val="p"/>
                      </m:rPr>
                      <m:t>2</m:t>
                    </m:r>
                    <m:r>
                      <m:rPr/>
                      <m:t>π</m:t>
                    </m:r>
                    <m:ctrlPr>
                      <w:rPr>
                        <w:rFonts w:ascii="Cambria Math" w:hAnsi="Cambria Math"/>
                      </w:rPr>
                    </m:ctrlPr>
                  </m:num>
                  <m:den>
                    <m:r>
                      <m:rPr/>
                      <m:t>T</m:t>
                    </m:r>
                    <m:ctrlPr>
                      <w:rPr>
                        <w:rFonts w:ascii="Cambria Math" w:hAnsi="Cambria Math"/>
                      </w:rPr>
                    </m:ctrlPr>
                  </m:den>
                </m:f>
                <m:ctrlPr>
                  <w:rPr>
                    <w:rFonts w:ascii="Cambria Math" w:hAnsi="Cambria Math"/>
                  </w:rPr>
                </m:ctrlPr>
              </m:e>
            </m:d>
          </m:e>
          <m:sup>
            <m:r>
              <m:rPr>
                <m:sty m:val="p"/>
              </m:rPr>
              <m:t>2</m:t>
            </m:r>
          </m:sup>
        </m:sSup>
        <m:r>
          <m:rPr/>
          <m:t>r</m:t>
        </m:r>
      </m:oMath>
      <w:r>
        <w:t xml:space="preserve"> 。</w:t>
      </w:r>
    </w:p>
    <w:p w14:paraId="440E7328">
      <w:pPr>
        <w:numPr>
          <w:ilvl w:val="0"/>
          <w:numId w:val="1"/>
        </w:numPr>
      </w:pPr>
      <w:r>
        <w:t xml:space="preserve">解出 </w:t>
      </w:r>
      <m:oMath>
        <m:r>
          <m:rPr/>
          <m:t>r</m:t>
        </m:r>
        <m:r>
          <m:rPr>
            <m:sty m:val="p"/>
          </m:rPr>
          <m:t>=</m:t>
        </m:r>
        <m:rad>
          <m:radPr>
            <m:ctrlPr>
              <w:rPr>
                <w:rFonts w:ascii="Cambria Math" w:hAnsi="Cambria Math"/>
              </w:rPr>
            </m:ctrlPr>
          </m:radPr>
          <m:deg>
            <m:r>
              <m:rPr>
                <m:sty m:val="p"/>
              </m:rPr>
              <m:t>3</m:t>
            </m:r>
            <m:ctrlPr>
              <w:rPr>
                <w:rFonts w:ascii="Cambria Math" w:hAnsi="Cambria Math"/>
              </w:rPr>
            </m:ctrlPr>
          </m:deg>
          <m:e>
            <m:f>
              <m:fPr>
                <m:ctrlPr>
                  <w:rPr>
                    <w:rFonts w:ascii="Cambria Math" w:hAnsi="Cambria Math"/>
                  </w:rPr>
                </m:ctrlPr>
              </m:fPr>
              <m:num>
                <m:r>
                  <m:rPr/>
                  <m:t>GM</m:t>
                </m:r>
                <m:sSup>
                  <m:sSupPr/>
                  <m:e>
                    <m:r>
                      <m:rPr/>
                      <m:t>T</m:t>
                    </m:r>
                  </m:e>
                  <m:sup>
                    <m:r>
                      <m:rPr>
                        <m:sty m:val="p"/>
                      </m:rPr>
                      <m:t>2</m:t>
                    </m:r>
                  </m:sup>
                </m:sSup>
                <m:ctrlPr>
                  <w:rPr>
                    <w:rFonts w:ascii="Cambria Math" w:hAnsi="Cambria Math"/>
                  </w:rPr>
                </m:ctrlPr>
              </m:num>
              <m:den>
                <m:r>
                  <m:rPr>
                    <m:sty m:val="p"/>
                  </m:rPr>
                  <m:t>4</m:t>
                </m:r>
                <m:sSup>
                  <m:sSupPr/>
                  <m:e>
                    <m:r>
                      <m:rPr/>
                      <m:t>π</m:t>
                    </m:r>
                  </m:e>
                  <m:sup>
                    <m:r>
                      <m:rPr>
                        <m:sty m:val="p"/>
                      </m:rPr>
                      <m:t>2</m:t>
                    </m:r>
                  </m:sup>
                </m:sSup>
                <m:ctrlPr>
                  <w:rPr>
                    <w:rFonts w:ascii="Cambria Math" w:hAnsi="Cambria Math"/>
                  </w:rPr>
                </m:ctrlPr>
              </m:den>
            </m:f>
            <m:ctrlPr>
              <w:rPr>
                <w:rFonts w:ascii="Cambria Math" w:hAnsi="Cambria Math"/>
              </w:rPr>
            </m:ctrlPr>
          </m:e>
        </m:rad>
      </m:oMath>
      <w:r>
        <w:t xml:space="preserve"> ，将 </w:t>
      </w:r>
      <m:oMath>
        <m:r>
          <m:rPr/>
          <m:t>G</m:t>
        </m:r>
        <m:r>
          <m:rPr>
            <m:sty m:val="p"/>
          </m:rPr>
          <m:t>=6.67×</m:t>
        </m:r>
        <m:sSup>
          <m:sSupPr/>
          <m:e>
            <m:r>
              <m:rPr>
                <m:sty m:val="p"/>
              </m:rPr>
              <m:t>10</m:t>
            </m:r>
          </m:e>
          <m:sup>
            <m:r>
              <m:rPr>
                <m:sty m:val="p"/>
              </m:rPr>
              <m:t>−11</m:t>
            </m:r>
          </m:sup>
        </m:sSup>
        <m:r>
          <m:rPr>
            <m:nor/>
            <m:sty m:val="p"/>
          </m:rPr>
          <w:rPr>
            <w:b w:val="0"/>
            <w:i w:val="0"/>
          </w:rPr>
          <m:t xml:space="preserve"> N⋅</m:t>
        </m:r>
        <m:sSup>
          <m:sSupPr/>
          <m:e>
            <m:r>
              <m:rPr>
                <m:nor/>
                <m:sty m:val="p"/>
              </m:rPr>
              <w:rPr>
                <w:b w:val="0"/>
                <w:i w:val="0"/>
              </w:rPr>
              <m:t xml:space="preserve"> m</m:t>
            </m:r>
          </m:e>
          <m:sup>
            <m:r>
              <m:rPr>
                <m:sty m:val="p"/>
              </m:rPr>
              <m:t>2</m:t>
            </m:r>
          </m:sup>
        </m:sSup>
        <m:r>
          <m:rPr>
            <m:sty m:val="p"/>
          </m:rPr>
          <m:t>/</m:t>
        </m:r>
        <m:sSup>
          <m:sSupPr/>
          <m:e>
            <m:r>
              <m:rPr>
                <m:sty m:val="p"/>
              </m:rPr>
              <m:t>kg</m:t>
            </m:r>
          </m:e>
          <m:sup>
            <m:r>
              <m:rPr>
                <m:sty m:val="p"/>
              </m:rPr>
              <m:t>2</m:t>
            </m:r>
          </m:sup>
        </m:sSup>
        <m:r>
          <m:rPr>
            <m:sty m:val="p"/>
          </m:rPr>
          <m:t>,</m:t>
        </m:r>
        <m:r>
          <m:rPr/>
          <m:t>M</m:t>
        </m:r>
        <m:r>
          <m:rPr>
            <m:sty m:val="p"/>
          </m:rPr>
          <m:t>=5.97×</m:t>
        </m:r>
        <m:sSup>
          <m:sSupPr/>
          <m:e>
            <m:r>
              <m:rPr>
                <m:sty m:val="p"/>
              </m:rPr>
              <m:t>10</m:t>
            </m:r>
          </m:e>
          <m:sup>
            <m:r>
              <m:rPr>
                <m:sty m:val="p"/>
              </m:rPr>
              <m:t>24</m:t>
            </m:r>
          </m:sup>
        </m:sSup>
        <m:r>
          <m:rPr>
            <m:nor/>
            <m:sty m:val="p"/>
          </m:rPr>
          <w:rPr>
            <w:b w:val="0"/>
            <w:i w:val="0"/>
          </w:rPr>
          <m:t xml:space="preserve"> kg</m:t>
        </m:r>
      </m:oMath>
      <w:r>
        <w:t xml:space="preserve"> ， </w:t>
      </w:r>
      <m:oMath>
        <m:r>
          <m:rPr/>
          <m:t>T</m:t>
        </m:r>
        <m:r>
          <m:rPr>
            <m:sty m:val="p"/>
          </m:rPr>
          <m:t>=86400</m:t>
        </m:r>
        <m:r>
          <m:rPr/>
          <m:t>s</m:t>
        </m:r>
      </m:oMath>
      <w:r>
        <w:t xml:space="preserve"> 代入可得:</w:t>
      </w:r>
    </w:p>
    <w:p w14:paraId="27F376FF">
      <w:pPr>
        <w:numPr>
          <w:ilvl w:val="0"/>
          <w:numId w:val="1"/>
        </w:numPr>
      </w:pPr>
      <m:oMath>
        <m:r>
          <m:rPr/>
          <m:t>r</m:t>
        </m:r>
        <m:r>
          <m:rPr>
            <m:sty m:val="p"/>
          </m:rPr>
          <m:t>=</m:t>
        </m:r>
        <m:rad>
          <m:radPr>
            <m:ctrlPr>
              <w:rPr>
                <w:rFonts w:ascii="Cambria Math" w:hAnsi="Cambria Math"/>
              </w:rPr>
            </m:ctrlPr>
          </m:radPr>
          <m:deg>
            <m:r>
              <m:rPr>
                <m:sty m:val="p"/>
              </m:rPr>
              <m:t>3</m:t>
            </m:r>
            <m:ctrlPr>
              <w:rPr>
                <w:rFonts w:ascii="Cambria Math" w:hAnsi="Cambria Math"/>
              </w:rPr>
            </m:ctrlPr>
          </m:deg>
          <m:e>
            <m:f>
              <m:fPr>
                <m:ctrlPr>
                  <w:rPr>
                    <w:rFonts w:ascii="Cambria Math" w:hAnsi="Cambria Math"/>
                  </w:rPr>
                </m:ctrlPr>
              </m:fPr>
              <m:num>
                <m:r>
                  <m:rPr>
                    <m:sty m:val="p"/>
                  </m:rPr>
                  <m:t>6.67×</m:t>
                </m:r>
                <m:sSup>
                  <m:sSupPr/>
                  <m:e>
                    <m:r>
                      <m:rPr>
                        <m:sty m:val="p"/>
                      </m:rPr>
                      <m:t>10</m:t>
                    </m:r>
                  </m:e>
                  <m:sup>
                    <m:r>
                      <m:rPr>
                        <m:sty m:val="p"/>
                      </m:rPr>
                      <m:t>−11</m:t>
                    </m:r>
                  </m:sup>
                </m:sSup>
                <m:r>
                  <m:rPr>
                    <m:sty m:val="p"/>
                  </m:rPr>
                  <m:t>×5.97×</m:t>
                </m:r>
                <m:sSup>
                  <m:sSupPr/>
                  <m:e>
                    <m:r>
                      <m:rPr>
                        <m:sty m:val="p"/>
                      </m:rPr>
                      <m:t>10</m:t>
                    </m:r>
                  </m:e>
                  <m:sup>
                    <m:r>
                      <m:rPr>
                        <m:sty m:val="p"/>
                      </m:rPr>
                      <m:t>24</m:t>
                    </m:r>
                  </m:sup>
                </m:sSup>
                <m:r>
                  <m:rPr>
                    <m:sty m:val="p"/>
                  </m:rPr>
                  <m:t>×(86400</m:t>
                </m:r>
                <m:sSup>
                  <m:sSupPr/>
                  <m:e>
                    <m:r>
                      <m:rPr>
                        <m:sty m:val="p"/>
                      </m:rPr>
                      <m:t>)</m:t>
                    </m:r>
                  </m:e>
                  <m:sup>
                    <m:r>
                      <m:rPr>
                        <m:sty m:val="p"/>
                      </m:rPr>
                      <m:t>2</m:t>
                    </m:r>
                  </m:sup>
                </m:sSup>
                <m:ctrlPr>
                  <w:rPr>
                    <w:rFonts w:ascii="Cambria Math" w:hAnsi="Cambria Math"/>
                  </w:rPr>
                </m:ctrlPr>
              </m:num>
              <m:den>
                <m:r>
                  <m:rPr>
                    <m:sty m:val="p"/>
                  </m:rPr>
                  <m:t>4</m:t>
                </m:r>
                <m:sSup>
                  <m:sSupPr/>
                  <m:e>
                    <m:r>
                      <m:rPr/>
                      <m:t>π</m:t>
                    </m:r>
                  </m:e>
                  <m:sup>
                    <m:r>
                      <m:rPr>
                        <m:sty m:val="p"/>
                      </m:rPr>
                      <m:t>2</m:t>
                    </m:r>
                  </m:sup>
                </m:sSup>
                <m:ctrlPr>
                  <w:rPr>
                    <w:rFonts w:ascii="Cambria Math" w:hAnsi="Cambria Math"/>
                  </w:rPr>
                </m:ctrlPr>
              </m:den>
            </m:f>
            <m:ctrlPr>
              <w:rPr>
                <w:rFonts w:ascii="Cambria Math" w:hAnsi="Cambria Math"/>
              </w:rPr>
            </m:ctrlPr>
          </m:e>
        </m:rad>
        <m:r>
          <m:rPr>
            <m:sty m:val="p"/>
          </m:rPr>
          <m:t>≈4.22×</m:t>
        </m:r>
        <m:sSup>
          <m:sSupPr/>
          <m:e>
            <m:r>
              <m:rPr>
                <m:sty m:val="p"/>
              </m:rPr>
              <m:t>10</m:t>
            </m:r>
          </m:e>
          <m:sup>
            <m:r>
              <m:rPr>
                <m:sty m:val="p"/>
              </m:rPr>
              <m:t>7</m:t>
            </m:r>
          </m:sup>
        </m:sSup>
        <m:r>
          <m:rPr>
            <m:nor/>
            <m:sty m:val="p"/>
          </m:rPr>
          <w:rPr>
            <w:b w:val="0"/>
            <w:i w:val="0"/>
          </w:rPr>
          <m:t xml:space="preserve"> m</m:t>
        </m:r>
      </m:oMath>
      <w:r>
        <w:t xml:space="preserve"> 。</w:t>
      </w:r>
    </w:p>
    <w:p w14:paraId="195AD0BC">
      <w:pPr>
        <w:numPr>
          <w:ilvl w:val="0"/>
          <w:numId w:val="1"/>
        </w:numPr>
      </w:pPr>
      <w:r>
        <w:t xml:space="preserve">地球同步轨道卫星的高度 </w:t>
      </w:r>
      <m:oMath>
        <m:r>
          <m:rPr/>
          <m:t>ℎ</m:t>
        </m:r>
        <m:r>
          <m:rPr>
            <m:sty m:val="p"/>
          </m:rPr>
          <m:t>=</m:t>
        </m:r>
        <m:r>
          <m:rPr/>
          <m:t>r</m:t>
        </m:r>
        <m:r>
          <m:rPr>
            <m:sty m:val="p"/>
          </m:rPr>
          <m:t>−</m:t>
        </m:r>
        <m:r>
          <m:rPr/>
          <m:t>R</m:t>
        </m:r>
      </m:oMath>
      <w:r>
        <w:t xml:space="preserve"> ( </w:t>
      </w:r>
      <m:oMath>
        <m:r>
          <m:rPr/>
          <m:t>R</m:t>
        </m:r>
      </m:oMath>
      <w:r>
        <w:t xml:space="preserve"> 为地球半径， </w:t>
      </w:r>
      <m:oMath>
        <m:r>
          <m:rPr/>
          <m:t>R</m:t>
        </m:r>
        <m:r>
          <m:rPr>
            <m:sty m:val="p"/>
          </m:rPr>
          <m:t>=6371 km=6.371×</m:t>
        </m:r>
      </m:oMath>
      <w:r>
        <w:t xml:space="preserve"> </w:t>
      </w:r>
      <m:oMath>
        <m:d>
          <m:dPr>
            <m:begChr m:val=""/>
            <m:ctrlPr>
              <w:rPr>
                <w:rFonts w:ascii="Cambria Math" w:hAnsi="Cambria Math"/>
              </w:rPr>
            </m:ctrlPr>
          </m:dPr>
          <m:e>
            <m:sSup>
              <m:sSupPr/>
              <m:e>
                <m:r>
                  <m:rPr>
                    <m:sty m:val="p"/>
                  </m:rPr>
                  <m:t>10</m:t>
                </m:r>
              </m:e>
              <m:sup>
                <m:r>
                  <m:rPr>
                    <m:sty m:val="p"/>
                  </m:rPr>
                  <m:t>6</m:t>
                </m:r>
              </m:sup>
            </m:sSup>
            <m:r>
              <m:rPr>
                <m:nor/>
                <m:sty m:val="p"/>
              </m:rPr>
              <w:rPr>
                <w:b w:val="0"/>
                <w:i w:val="0"/>
              </w:rPr>
              <m:t xml:space="preserve"> m</m:t>
            </m:r>
            <m:ctrlPr>
              <w:rPr>
                <w:rFonts w:ascii="Cambria Math" w:hAnsi="Cambria Math"/>
              </w:rPr>
            </m:ctrlPr>
          </m:e>
        </m:d>
        <m:r>
          <m:rPr>
            <m:sty m:val="p"/>
          </m:rPr>
          <m:t>,</m:t>
        </m:r>
        <m:r>
          <m:rPr/>
          <m:t>ℎ</m:t>
        </m:r>
        <m:r>
          <m:rPr>
            <m:sty m:val="p"/>
          </m:rPr>
          <m:t>≈3.58×</m:t>
        </m:r>
        <m:sSup>
          <m:sSupPr/>
          <m:e>
            <m:r>
              <m:rPr>
                <m:sty m:val="p"/>
              </m:rPr>
              <m:t>10</m:t>
            </m:r>
          </m:e>
          <m:sup>
            <m:r>
              <m:rPr>
                <m:sty m:val="p"/>
              </m:rPr>
              <m:t>7</m:t>
            </m:r>
          </m:sup>
        </m:sSup>
        <m:r>
          <m:rPr>
            <m:nor/>
            <m:sty m:val="p"/>
          </m:rPr>
          <w:rPr>
            <w:b w:val="0"/>
            <w:i w:val="0"/>
          </w:rPr>
          <m:t xml:space="preserve"> m=35800 km</m:t>
        </m:r>
      </m:oMath>
      <w:r>
        <w:t xml:space="preserve"> 。</w:t>
      </w:r>
    </w:p>
    <w:p w14:paraId="01B1491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right="0"/>
        <w:jc w:val="left"/>
        <w:rPr>
          <w:rFonts w:hint="eastAsia" w:cstheme="minorBidi"/>
          <w:b/>
          <w:bCs/>
          <w:color w:val="000000" w:themeColor="text1"/>
          <w14:textFill>
            <w14:solidFill>
              <w14:schemeClr w14:val="tx1"/>
            </w14:solidFill>
          </w14:textFill>
        </w:rPr>
      </w:pPr>
    </w:p>
    <w:p w14:paraId="49FA0C3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right="0"/>
        <w:jc w:val="left"/>
        <w:rPr>
          <w:rFonts w:hint="eastAsia" w:cstheme="minorBidi"/>
          <w:b/>
          <w:bCs/>
          <w:color w:val="000000" w:themeColor="text1"/>
          <w14:textFill>
            <w14:solidFill>
              <w14:schemeClr w14:val="tx1"/>
            </w14:solidFill>
          </w14:textFill>
        </w:rPr>
      </w:pPr>
      <w:r>
        <w:rPr>
          <w:rFonts w:hint="eastAsia" w:cstheme="minorBidi"/>
          <w:b/>
          <w:bCs/>
          <w:color w:val="000000" w:themeColor="text1"/>
          <w14:textFill>
            <w14:solidFill>
              <w14:schemeClr w14:val="tx1"/>
            </w14:solidFill>
          </w14:textFill>
        </w:rPr>
        <w:t>太阳同步轨道卫星的近似高度</w:t>
      </w:r>
    </w:p>
    <w:p w14:paraId="30B679B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right="0"/>
        <w:jc w:val="left"/>
        <w:rPr>
          <w:rFonts w:hint="default" w:eastAsia="宋体" w:cstheme="minorBidi"/>
          <w:b/>
          <w:bCs/>
          <w:color w:val="000000" w:themeColor="text1"/>
          <w:lang w:val="en-US" w:eastAsia="zh-CN"/>
          <w14:textFill>
            <w14:solidFill>
              <w14:schemeClr w14:val="tx1"/>
            </w14:solidFill>
          </w14:textFill>
        </w:rPr>
      </w:pPr>
      <w:r>
        <w:rPr>
          <w:rFonts w:hint="eastAsia" w:cstheme="minorBidi"/>
          <w:b/>
          <w:bCs/>
          <w:color w:val="000000" w:themeColor="text1"/>
          <w:lang w:val="en-US" w:eastAsia="zh-CN"/>
          <w14:textFill>
            <w14:solidFill>
              <w14:schemeClr w14:val="tx1"/>
            </w14:solidFill>
          </w14:textFill>
        </w:rPr>
        <w:t xml:space="preserve">    T = 100min,H=759km</w:t>
      </w:r>
    </w:p>
    <w:p w14:paraId="5B133F4B">
      <w:pPr>
        <w:bidi w:val="0"/>
        <w:spacing w:line="360" w:lineRule="auto"/>
        <w:ind w:firstLine="422" w:firstLineChars="200"/>
        <w:rPr>
          <w:rFonts w:hint="eastAsia" w:cstheme="minorBidi"/>
          <w:color w:val="000000" w:themeColor="text1"/>
          <w:lang w:val="en-US" w:eastAsia="zh-CN"/>
          <w14:textFill>
            <w14:solidFill>
              <w14:schemeClr w14:val="tx1"/>
            </w14:solidFill>
          </w14:textFill>
        </w:rPr>
      </w:pPr>
      <w:r>
        <w:rPr>
          <w:rFonts w:hint="default" w:cstheme="minorBidi"/>
          <w:b/>
          <w:bCs/>
          <w:color w:val="000000" w:themeColor="text1"/>
          <w:lang w:val="en-US" w:eastAsia="zh-CN"/>
          <w14:textFill>
            <w14:solidFill>
              <w14:schemeClr w14:val="tx1"/>
            </w14:solidFill>
          </w14:textFill>
        </w:rPr>
        <w:t>轨道平面绕地球自转轴旋转的方向与地球的公转方向相同、旋转角速度等于地球公转的平均角速度</w:t>
      </w:r>
      <w:r>
        <w:rPr>
          <w:rFonts w:hint="default" w:cstheme="minorBidi"/>
          <w:color w:val="000000" w:themeColor="text1"/>
          <w:lang w:val="en-US" w:eastAsia="zh-CN"/>
          <w14:textFill>
            <w14:solidFill>
              <w14:schemeClr w14:val="tx1"/>
            </w14:solidFill>
          </w14:textFill>
        </w:rPr>
        <w:t>（即0.9856°/d或360°/a）的</w:t>
      </w:r>
      <w:r>
        <w:rPr>
          <w:rFonts w:hint="default" w:cstheme="minorBidi"/>
          <w:color w:val="000000" w:themeColor="text1"/>
          <w:lang w:val="en-US" w:eastAsia="zh-CN"/>
          <w14:textFill>
            <w14:solidFill>
              <w14:schemeClr w14:val="tx1"/>
            </w14:solidFill>
          </w14:textFill>
        </w:rPr>
        <w:fldChar w:fldCharType="begin"/>
      </w:r>
      <w:r>
        <w:rPr>
          <w:rFonts w:hint="default" w:cstheme="minorBidi"/>
          <w:color w:val="000000" w:themeColor="text1"/>
          <w:lang w:val="en-US" w:eastAsia="zh-CN"/>
          <w14:textFill>
            <w14:solidFill>
              <w14:schemeClr w14:val="tx1"/>
            </w14:solidFill>
          </w14:textFill>
        </w:rPr>
        <w:instrText xml:space="preserve"> HYPERLINK "https://baike.baidu.com/item/%E4%BA%BA%E9%80%A0%E5%9C%B0%E7%90%83%E5%8D%AB%E6%98%9F%E8%BD%A8%E9%81%93/0?fromModule=lemma_inlink" \t "https://baike.baidu.com/item/%E5%A4%AA%E9%98%B3%E5%90%8C%E6%AD%A5%E8%BD%A8%E9%81%93/_blank" </w:instrText>
      </w:r>
      <w:r>
        <w:rPr>
          <w:rFonts w:hint="default" w:cstheme="minorBidi"/>
          <w:color w:val="000000" w:themeColor="text1"/>
          <w:lang w:val="en-US" w:eastAsia="zh-CN"/>
          <w14:textFill>
            <w14:solidFill>
              <w14:schemeClr w14:val="tx1"/>
            </w14:solidFill>
          </w14:textFill>
        </w:rPr>
        <w:fldChar w:fldCharType="separate"/>
      </w:r>
      <w:r>
        <w:rPr>
          <w:rFonts w:hint="default" w:cstheme="minorBidi"/>
          <w:color w:val="000000" w:themeColor="text1"/>
          <w:lang w:val="en-US" w:eastAsia="zh-CN"/>
          <w14:textFill>
            <w14:solidFill>
              <w14:schemeClr w14:val="tx1"/>
            </w14:solidFill>
          </w14:textFill>
        </w:rPr>
        <w:t>人造地球卫星轨道</w:t>
      </w:r>
      <w:r>
        <w:rPr>
          <w:rFonts w:hint="default" w:cstheme="minorBidi"/>
          <w:color w:val="000000" w:themeColor="text1"/>
          <w:lang w:val="en-US" w:eastAsia="zh-CN"/>
          <w14:textFill>
            <w14:solidFill>
              <w14:schemeClr w14:val="tx1"/>
            </w14:solidFill>
          </w14:textFill>
        </w:rPr>
        <w:fldChar w:fldCharType="end"/>
      </w:r>
      <w:r>
        <w:rPr>
          <w:rFonts w:hint="default" w:cstheme="minorBidi"/>
          <w:color w:val="000000" w:themeColor="text1"/>
          <w:lang w:val="en-US" w:eastAsia="zh-CN"/>
          <w14:textFill>
            <w14:solidFill>
              <w14:schemeClr w14:val="tx1"/>
            </w14:solidFill>
          </w14:textFill>
        </w:rPr>
        <w:t>。太阳同步轨道的半长轴α、偏心率e和倾角i;这3个轨道要素必须满足以下关系式：</w:t>
      </w:r>
    </w:p>
    <w:p w14:paraId="79013A84">
      <w:pPr>
        <w:bidi w:val="0"/>
        <w:spacing w:line="360" w:lineRule="auto"/>
        <w:ind w:firstLine="420" w:firstLineChars="200"/>
        <w:rPr>
          <w:rFonts w:hint="default" w:cstheme="minorBidi"/>
          <w:color w:val="000000" w:themeColor="text1"/>
          <w:lang w:val="en-US" w:eastAsia="zh-CN"/>
          <w14:textFill>
            <w14:solidFill>
              <w14:schemeClr w14:val="tx1"/>
            </w14:solidFill>
          </w14:textFill>
        </w:rPr>
      </w:pPr>
      <w:r>
        <w:rPr>
          <w:rFonts w:hint="default" w:cstheme="minorBidi"/>
          <w:color w:val="000000" w:themeColor="text1"/>
          <w:lang w:val="en-US" w:eastAsia="zh-CN"/>
          <w14:textFill>
            <w14:solidFill>
              <w14:schemeClr w14:val="tx1"/>
            </w14:solidFill>
          </w14:textFill>
        </w:rPr>
        <w:t>Cosi=-4.7737×10-15 (1-e)2a(7/2)</w:t>
      </w:r>
    </w:p>
    <w:p w14:paraId="48771287">
      <w:pPr>
        <w:bidi w:val="0"/>
        <w:spacing w:line="360" w:lineRule="auto"/>
        <w:ind w:firstLine="420" w:firstLineChars="200"/>
        <w:rPr>
          <w:rFonts w:hint="default" w:cstheme="minorBidi"/>
          <w:color w:val="000000" w:themeColor="text1"/>
          <w:lang w:val="en-US" w:eastAsia="zh-CN"/>
          <w14:textFill>
            <w14:solidFill>
              <w14:schemeClr w14:val="tx1"/>
            </w14:solidFill>
          </w14:textFill>
        </w:rPr>
      </w:pPr>
      <w:r>
        <w:rPr>
          <w:rFonts w:hint="default" w:cstheme="minorBidi"/>
          <w:color w:val="000000" w:themeColor="text1"/>
          <w:lang w:val="en-US" w:eastAsia="zh-CN"/>
          <w14:textFill>
            <w14:solidFill>
              <w14:schemeClr w14:val="tx1"/>
            </w14:solidFill>
          </w14:textFill>
        </w:rPr>
        <w:t>式中a的单位为km。由该式可知，</w:t>
      </w:r>
      <w:r>
        <w:rPr>
          <w:rFonts w:hint="default" w:cstheme="minorBidi"/>
          <w:b/>
          <w:bCs/>
          <w:color w:val="000000" w:themeColor="text1"/>
          <w:lang w:val="en-US" w:eastAsia="zh-CN"/>
          <w14:textFill>
            <w14:solidFill>
              <w14:schemeClr w14:val="tx1"/>
            </w14:solidFill>
          </w14:textFill>
        </w:rPr>
        <w:t>太阳同步轨道的倾角必须大于90°，即它是一条逆行轨道。在圆轨道时，倾角最大为180°，所以太阳同步轨道的高度不会超过6000km</w:t>
      </w:r>
      <w:r>
        <w:rPr>
          <w:rFonts w:hint="default" w:cstheme="minorBidi"/>
          <w:color w:val="000000" w:themeColor="text1"/>
          <w:lang w:val="en-US" w:eastAsia="zh-CN"/>
          <w14:textFill>
            <w14:solidFill>
              <w14:schemeClr w14:val="tx1"/>
            </w14:solidFill>
          </w14:textFill>
        </w:rPr>
        <w:t>。在太阳同步轨道上运行的卫星，从相同的方向经过同一纬度的当地时间是相同的。</w:t>
      </w:r>
    </w:p>
    <w:p w14:paraId="419A0804">
      <w:pPr>
        <w:bidi w:val="0"/>
        <w:spacing w:line="360" w:lineRule="auto"/>
        <w:rPr>
          <w:rFonts w:hint="eastAsia" w:cstheme="minorBidi"/>
          <w:b/>
          <w:bCs/>
          <w:color w:val="000000" w:themeColor="text1"/>
          <w14:textFill>
            <w14:solidFill>
              <w14:schemeClr w14:val="tx1"/>
            </w14:solidFill>
          </w14:textFill>
        </w:rPr>
      </w:pPr>
    </w:p>
    <w:p w14:paraId="41E0EF70">
      <w:pPr>
        <w:bidi w:val="0"/>
        <w:spacing w:line="360" w:lineRule="auto"/>
        <w:rPr>
          <w:rFonts w:hint="default" w:cstheme="minorBidi"/>
          <w:b/>
          <w:bCs/>
          <w:color w:val="000000" w:themeColor="text1"/>
          <w:lang w:val="en-US" w:eastAsia="zh-CN"/>
          <w14:textFill>
            <w14:solidFill>
              <w14:schemeClr w14:val="tx1"/>
            </w14:solidFill>
          </w14:textFill>
        </w:rPr>
      </w:pPr>
      <w:r>
        <w:rPr>
          <w:rFonts w:hint="eastAsia" w:cstheme="minorBidi"/>
          <w:b/>
          <w:bCs/>
          <w:color w:val="000000" w:themeColor="text1"/>
          <w14:textFill>
            <w14:solidFill>
              <w14:schemeClr w14:val="tx1"/>
            </w14:solidFill>
          </w14:textFill>
        </w:rPr>
        <w:t>万有引力定律与牛顿第二定律的公式。并列出角速度与旋转周期的关系式</w:t>
      </w:r>
    </w:p>
    <w:p w14:paraId="5F68FD95">
      <w:pPr>
        <w:widowControl/>
        <w:spacing w:line="276" w:lineRule="auto"/>
        <w:rPr>
          <w:rFonts w:hint="eastAsia" w:eastAsia="宋体"/>
          <w:lang w:eastAsia="zh-CN"/>
        </w:rPr>
      </w:pPr>
      <w:r>
        <w:rPr>
          <w:rFonts w:hint="eastAsia" w:eastAsia="宋体"/>
          <w:position w:val="-74"/>
          <w:lang w:eastAsia="zh-CN"/>
        </w:rPr>
        <w:object>
          <v:shape id="_x0000_i1030" o:spt="75" type="#_x0000_t75" style="height:81pt;width:54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p>
    <w:p w14:paraId="6C1B5B6B">
      <w:pPr>
        <w:pStyle w:val="2"/>
        <w:numPr>
          <w:ilvl w:val="0"/>
          <w:numId w:val="0"/>
        </w:numPr>
        <w:bidi w:val="0"/>
        <w:spacing w:before="0" w:after="0" w:line="360" w:lineRule="auto"/>
        <w:rPr>
          <w:rFonts w:hint="eastAsia" w:cstheme="minorBidi"/>
          <w:color w:val="000000" w:themeColor="text1"/>
          <w14:textFill>
            <w14:solidFill>
              <w14:schemeClr w14:val="tx1"/>
            </w14:solidFill>
          </w14:textFill>
        </w:rPr>
      </w:pPr>
      <w:r>
        <w:rPr>
          <w:rFonts w:hint="eastAsia" w:cstheme="minorBidi"/>
          <w:color w:val="000000" w:themeColor="text1"/>
          <w14:textFill>
            <w14:solidFill>
              <w14:schemeClr w14:val="tx1"/>
            </w14:solidFill>
          </w14:textFill>
        </w:rPr>
        <w:t>4.高度计测有效波高的原理是什么？测卫星到海面距离的原理是什么？测风速的原理是什么？</w:t>
      </w:r>
    </w:p>
    <w:p w14:paraId="708EFA40">
      <w:pPr>
        <w:widowControl/>
        <w:spacing w:line="276" w:lineRule="auto"/>
      </w:pPr>
      <w:r>
        <w:drawing>
          <wp:inline distT="0" distB="0" distL="114300" distR="114300">
            <wp:extent cx="5266055" cy="2378075"/>
            <wp:effectExtent l="0" t="0" r="6985" b="1460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20"/>
                    <a:stretch>
                      <a:fillRect/>
                    </a:stretch>
                  </pic:blipFill>
                  <pic:spPr>
                    <a:xfrm>
                      <a:off x="0" y="0"/>
                      <a:ext cx="5266055" cy="2378075"/>
                    </a:xfrm>
                    <a:prstGeom prst="rect">
                      <a:avLst/>
                    </a:prstGeom>
                    <a:noFill/>
                    <a:ln>
                      <a:noFill/>
                    </a:ln>
                  </pic:spPr>
                </pic:pic>
              </a:graphicData>
            </a:graphic>
          </wp:inline>
        </w:drawing>
      </w:r>
    </w:p>
    <w:p w14:paraId="18981F8B">
      <w:pPr>
        <w:widowControl/>
        <w:spacing w:line="276" w:lineRule="auto"/>
        <w:rPr>
          <w:b/>
          <w:bCs/>
        </w:rPr>
      </w:pPr>
      <w:r>
        <w:rPr>
          <w:rFonts w:hint="eastAsia" w:cstheme="minorBidi"/>
          <w:b/>
          <w:bCs/>
          <w:color w:val="000000" w:themeColor="text1"/>
          <w14:textFill>
            <w14:solidFill>
              <w14:schemeClr w14:val="tx1"/>
            </w14:solidFill>
          </w14:textFill>
        </w:rPr>
        <w:t>测卫星到海面距离的原理</w:t>
      </w:r>
    </w:p>
    <w:p w14:paraId="1DE9B829">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卫星通过测量电磁波从卫星发射到海面反射的时间差，计算卫星到海面距离：</w:t>
      </w:r>
    </w:p>
    <w:p w14:paraId="7C765C0F">
      <w:pPr>
        <w:bidi w:val="0"/>
        <w:spacing w:line="360" w:lineRule="auto"/>
        <w:ind w:firstLine="420" w:firstLineChars="200"/>
        <w:jc w:val="center"/>
        <w:rPr>
          <w:rFonts w:hint="default" w:cstheme="minorBidi"/>
          <w:color w:val="000000" w:themeColor="text1"/>
          <w:lang w:val="en-US" w:eastAsia="zh-CN"/>
          <w14:textFill>
            <w14:solidFill>
              <w14:schemeClr w14:val="tx1"/>
            </w14:solidFill>
          </w14:textFill>
        </w:rPr>
      </w:pPr>
      <w:r>
        <w:rPr>
          <w:rFonts w:hint="default" w:cstheme="minorBidi"/>
          <w:color w:val="000000" w:themeColor="text1"/>
          <w:lang w:val="en-US" w:eastAsia="zh-CN"/>
          <w14:textFill>
            <w14:solidFill>
              <w14:schemeClr w14:val="tx1"/>
            </w14:solidFill>
          </w14:textFill>
        </w:rPr>
        <w:object>
          <v:shape id="_x0000_i1031" o:spt="75" type="#_x0000_t75" style="height:31pt;width:45pt;" o:ole="t" filled="f" o:preferrelative="t" stroked="f" coordsize="21600,21600">
            <v:path/>
            <v:fill on="f" focussize="0,0"/>
            <v:stroke on="f"/>
            <v:imagedata r:id="rId11" o:title=""/>
            <o:lock v:ext="edit" aspectratio="t"/>
            <w10:wrap type="none"/>
            <w10:anchorlock/>
          </v:shape>
          <o:OLEObject Type="Embed" ProgID="Equation.KSEE3" ShapeID="_x0000_i1031" DrawAspect="Content" ObjectID="_1468075731" r:id="rId21">
            <o:LockedField>false</o:LockedField>
          </o:OLEObject>
        </w:object>
      </w:r>
    </w:p>
    <w:p w14:paraId="4075F0C8">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default" w:cstheme="minorBidi"/>
          <w:color w:val="000000" w:themeColor="text1"/>
          <w:lang w:val="en-US" w:eastAsia="zh-CN"/>
          <w14:textFill>
            <w14:solidFill>
              <w14:schemeClr w14:val="tx1"/>
            </w14:solidFill>
          </w14:textFill>
        </w:rPr>
        <w:object>
          <v:shape id="_x0000_i1032" o:spt="75" type="#_x0000_t75" style="height:13pt;width:13.95pt;" o:ole="t" filled="f" o:preferrelative="t" stroked="f" coordsize="21600,21600">
            <v:path/>
            <v:fill on="f" focussize="0,0"/>
            <v:stroke on="f"/>
            <v:imagedata r:id="rId13" o:title=""/>
            <o:lock v:ext="edit" aspectratio="t"/>
            <w10:wrap type="none"/>
            <w10:anchorlock/>
          </v:shape>
          <o:OLEObject Type="Embed" ProgID="Equation.KSEE3" ShapeID="_x0000_i1032" DrawAspect="Content" ObjectID="_1468075732" r:id="rId22">
            <o:LockedField>false</o:LockedField>
          </o:OLEObject>
        </w:object>
      </w:r>
      <w:r>
        <w:rPr>
          <w:rFonts w:hint="eastAsia" w:cstheme="minorBidi"/>
          <w:color w:val="000000" w:themeColor="text1"/>
          <w:lang w:val="en-US" w:eastAsia="zh-CN"/>
          <w14:textFill>
            <w14:solidFill>
              <w14:schemeClr w14:val="tx1"/>
            </w14:solidFill>
          </w14:textFill>
        </w:rPr>
        <w:t>是卫星到海面距离，</w:t>
      </w:r>
      <w:r>
        <w:rPr>
          <w:rFonts w:hint="default" w:cstheme="minorBidi"/>
          <w:color w:val="000000" w:themeColor="text1"/>
          <w:lang w:val="en-US" w:eastAsia="zh-CN"/>
          <w14:textFill>
            <w14:solidFill>
              <w14:schemeClr w14:val="tx1"/>
            </w14:solidFill>
          </w14:textFill>
        </w:rPr>
        <w:object>
          <v:shape id="_x0000_i1033" o:spt="75" type="#_x0000_t75" style="height:11pt;width:9pt;" o:ole="t" filled="f" o:preferrelative="t" stroked="f" coordsize="21600,21600">
            <v:path/>
            <v:fill on="f" focussize="0,0"/>
            <v:stroke on="f"/>
            <v:imagedata r:id="rId15" o:title=""/>
            <o:lock v:ext="edit" aspectratio="t"/>
            <w10:wrap type="none"/>
            <w10:anchorlock/>
          </v:shape>
          <o:OLEObject Type="Embed" ProgID="Equation.KSEE3" ShapeID="_x0000_i1033" DrawAspect="Content" ObjectID="_1468075733" r:id="rId23">
            <o:LockedField>false</o:LockedField>
          </o:OLEObject>
        </w:object>
      </w:r>
      <w:r>
        <w:rPr>
          <w:rFonts w:hint="eastAsia" w:cstheme="minorBidi"/>
          <w:color w:val="000000" w:themeColor="text1"/>
          <w:lang w:val="en-US" w:eastAsia="zh-CN"/>
          <w14:textFill>
            <w14:solidFill>
              <w14:schemeClr w14:val="tx1"/>
            </w14:solidFill>
          </w14:textFill>
        </w:rPr>
        <w:t>光速，</w:t>
      </w:r>
      <w:r>
        <w:rPr>
          <w:rFonts w:hint="default" w:cstheme="minorBidi"/>
          <w:color w:val="000000" w:themeColor="text1"/>
          <w:lang w:val="en-US" w:eastAsia="zh-CN"/>
          <w14:textFill>
            <w14:solidFill>
              <w14:schemeClr w14:val="tx1"/>
            </w14:solidFill>
          </w14:textFill>
        </w:rPr>
        <w:object>
          <v:shape id="_x0000_i1034" o:spt="75" type="#_x0000_t75" style="height:13.95pt;width:15pt;" o:ole="t" filled="f" o:preferrelative="t" stroked="f" coordsize="21600,21600">
            <v:path/>
            <v:fill on="f" focussize="0,0"/>
            <v:stroke on="f"/>
            <v:imagedata r:id="rId17" o:title=""/>
            <o:lock v:ext="edit" aspectratio="t"/>
            <w10:wrap type="none"/>
            <w10:anchorlock/>
          </v:shape>
          <o:OLEObject Type="Embed" ProgID="Equation.KSEE3" ShapeID="_x0000_i1034" DrawAspect="Content" ObjectID="_1468075734" r:id="rId24">
            <o:LockedField>false</o:LockedField>
          </o:OLEObject>
        </w:object>
      </w:r>
      <w:r>
        <w:rPr>
          <w:rFonts w:hint="eastAsia" w:cstheme="minorBidi"/>
          <w:color w:val="000000" w:themeColor="text1"/>
          <w:lang w:val="en-US" w:eastAsia="zh-CN"/>
          <w14:textFill>
            <w14:solidFill>
              <w14:schemeClr w14:val="tx1"/>
            </w14:solidFill>
          </w14:textFill>
        </w:rPr>
        <w:t>信号往返时间</w:t>
      </w:r>
    </w:p>
    <w:p w14:paraId="354F3BD6">
      <w:pPr>
        <w:bidi w:val="0"/>
        <w:spacing w:line="360" w:lineRule="auto"/>
        <w:rPr>
          <w:rFonts w:hint="eastAsia" w:cstheme="minorBidi"/>
          <w:b/>
          <w:bCs/>
          <w:color w:val="000000" w:themeColor="text1"/>
          <w14:textFill>
            <w14:solidFill>
              <w14:schemeClr w14:val="tx1"/>
            </w14:solidFill>
          </w14:textFill>
        </w:rPr>
      </w:pPr>
      <w:r>
        <w:rPr>
          <w:rFonts w:hint="eastAsia" w:cstheme="minorBidi"/>
          <w:b/>
          <w:bCs/>
          <w:color w:val="000000" w:themeColor="text1"/>
          <w14:textFill>
            <w14:solidFill>
              <w14:schemeClr w14:val="tx1"/>
            </w14:solidFill>
          </w14:textFill>
        </w:rPr>
        <w:t>测风速的原理</w:t>
      </w:r>
    </w:p>
    <w:p w14:paraId="2066503A">
      <w:pPr>
        <w:bidi w:val="0"/>
        <w:spacing w:line="360" w:lineRule="auto"/>
        <w:jc w:val="center"/>
        <w:rPr>
          <w:rFonts w:hint="eastAsia" w:cstheme="minorBidi"/>
          <w:b/>
          <w:bCs/>
          <w:color w:val="000000" w:themeColor="text1"/>
          <w:lang w:val="en-US" w:eastAsia="zh-CN"/>
          <w14:textFill>
            <w14:solidFill>
              <w14:schemeClr w14:val="tx1"/>
            </w14:solidFill>
          </w14:textFill>
        </w:rPr>
      </w:pPr>
      <w:r>
        <w:drawing>
          <wp:inline distT="0" distB="0" distL="114300" distR="114300">
            <wp:extent cx="3022600" cy="1265555"/>
            <wp:effectExtent l="0" t="0" r="10160" b="14605"/>
            <wp:docPr id="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2"/>
                    <pic:cNvPicPr>
                      <a:picLocks noChangeAspect="1"/>
                    </pic:cNvPicPr>
                  </pic:nvPicPr>
                  <pic:blipFill>
                    <a:blip r:embed="rId25"/>
                    <a:stretch>
                      <a:fillRect/>
                    </a:stretch>
                  </pic:blipFill>
                  <pic:spPr>
                    <a:xfrm>
                      <a:off x="0" y="0"/>
                      <a:ext cx="3022600" cy="1265555"/>
                    </a:xfrm>
                    <a:prstGeom prst="rect">
                      <a:avLst/>
                    </a:prstGeom>
                    <a:noFill/>
                    <a:ln>
                      <a:noFill/>
                    </a:ln>
                  </pic:spPr>
                </pic:pic>
              </a:graphicData>
            </a:graphic>
          </wp:inline>
        </w:drawing>
      </w:r>
    </w:p>
    <w:p w14:paraId="29798BF3">
      <w:pPr>
        <w:bidi w:val="0"/>
        <w:spacing w:line="360" w:lineRule="auto"/>
        <w:ind w:firstLine="420" w:firstLineChars="200"/>
        <w:rPr>
          <w:rFonts w:ascii="宋体" w:hAnsi="宋体" w:eastAsia="宋体" w:cs="宋体"/>
          <w:sz w:val="24"/>
          <w:szCs w:val="24"/>
        </w:rPr>
      </w:pPr>
      <w:r>
        <w:rPr>
          <w:rFonts w:hint="eastAsia" w:cstheme="minorBidi"/>
          <w:color w:val="000000" w:themeColor="text1"/>
          <w:lang w:val="en-US" w:eastAsia="zh-CN"/>
          <w14:textFill>
            <w14:solidFill>
              <w14:schemeClr w14:val="tx1"/>
            </w14:solidFill>
          </w14:textFill>
        </w:rPr>
        <w:t>散射计测风原理：微波散射计通过测量风引起的粗糙海面对微波的后向散射特性来推算风场。在海面上，毛细波叠加在重力波上，风的变化引起海表面粗糙度的变化，使接收到的后向散射随之变化。根据后向散射与风矢量之间的相关模式，经过地球物理定标后就能得出海面风场。</w:t>
      </w:r>
    </w:p>
    <w:p w14:paraId="3823561F">
      <w:pPr>
        <w:pStyle w:val="2"/>
        <w:numPr>
          <w:ilvl w:val="0"/>
          <w:numId w:val="2"/>
        </w:numPr>
        <w:bidi w:val="0"/>
        <w:spacing w:before="0" w:after="0" w:line="360" w:lineRule="auto"/>
        <w:rPr>
          <w:rFonts w:hint="eastAsia" w:cstheme="minorBidi"/>
          <w:color w:val="000000" w:themeColor="text1"/>
          <w14:textFill>
            <w14:solidFill>
              <w14:schemeClr w14:val="tx1"/>
            </w14:solidFill>
          </w14:textFill>
        </w:rPr>
      </w:pPr>
      <w:r>
        <w:rPr>
          <w:rFonts w:hint="eastAsia" w:cstheme="minorBidi"/>
          <w:color w:val="000000" w:themeColor="text1"/>
          <w14:textFill>
            <w14:solidFill>
              <w14:schemeClr w14:val="tx1"/>
            </w14:solidFill>
          </w14:textFill>
        </w:rPr>
        <w:t xml:space="preserve">布喇格共振散射（Bragg-Resonant Scatter）、镜面反射(Specular Reflectance)、多普勒效应（Doppler Effect）、海面发射率（Sea Surface Emissivity）和德拜方程（Debye Equation）物理概念，哪些与微波辐射计遥感有关？哪些与高度计遥感有关？哪些与散射计遥感有关？哪些与合成孔径雷达（SAR）遥感有关？ </w:t>
      </w:r>
    </w:p>
    <w:p w14:paraId="1C796831">
      <w:pPr>
        <w:widowControl w:val="0"/>
        <w:numPr>
          <w:ilvl w:val="0"/>
          <w:numId w:val="0"/>
        </w:numPr>
        <w:jc w:val="both"/>
        <w:rPr>
          <w:rFonts w:hint="eastAsia"/>
        </w:rPr>
      </w:pPr>
    </w:p>
    <w:p w14:paraId="33B701BE">
      <w:pPr>
        <w:bidi w:val="0"/>
        <w:spacing w:line="360" w:lineRule="auto"/>
        <w:rPr>
          <w:rFonts w:hint="eastAsia" w:cstheme="minorBidi"/>
          <w:b/>
          <w:bCs/>
          <w:color w:val="000000" w:themeColor="text1"/>
          <w:lang w:val="en-US" w:eastAsia="zh-CN"/>
          <w14:textFill>
            <w14:solidFill>
              <w14:schemeClr w14:val="tx1"/>
            </w14:solidFill>
          </w14:textFill>
        </w:rPr>
      </w:pPr>
      <w:r>
        <w:rPr>
          <w:rFonts w:hint="eastAsia" w:cstheme="minorBidi"/>
          <w:b/>
          <w:bCs/>
          <w:color w:val="000000" w:themeColor="text1"/>
          <w:lang w:val="en-US" w:eastAsia="zh-CN"/>
          <w14:textFill>
            <w14:solidFill>
              <w14:schemeClr w14:val="tx1"/>
            </w14:solidFill>
          </w14:textFill>
        </w:rPr>
        <w:t>微波辐射计</w:t>
      </w:r>
    </w:p>
    <w:p w14:paraId="29C50400">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布喇格共振散射、镜面反射与粗糙海面发射率的理论模型和两尺度理论模型有关；海面发射率与直接发射率模型有关；</w:t>
      </w:r>
    </w:p>
    <w:p w14:paraId="59C0E901">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德拜方程应用于直接发射率的小斜率近似中。</w:t>
      </w:r>
    </w:p>
    <w:p w14:paraId="3213F096">
      <w:pPr>
        <w:bidi w:val="0"/>
        <w:spacing w:line="360" w:lineRule="auto"/>
        <w:rPr>
          <w:rFonts w:hint="eastAsia" w:cstheme="minorBidi"/>
          <w:b/>
          <w:bCs/>
          <w:color w:val="000000" w:themeColor="text1"/>
          <w:lang w:val="en-US" w:eastAsia="zh-CN"/>
          <w14:textFill>
            <w14:solidFill>
              <w14:schemeClr w14:val="tx1"/>
            </w14:solidFill>
          </w14:textFill>
        </w:rPr>
      </w:pPr>
      <w:r>
        <w:rPr>
          <w:rFonts w:hint="eastAsia" w:cstheme="minorBidi"/>
          <w:b/>
          <w:bCs/>
          <w:color w:val="000000" w:themeColor="text1"/>
          <w:lang w:val="en-US" w:eastAsia="zh-CN"/>
          <w14:textFill>
            <w14:solidFill>
              <w14:schemeClr w14:val="tx1"/>
            </w14:solidFill>
          </w14:textFill>
        </w:rPr>
        <w:t>高度计</w:t>
      </w:r>
    </w:p>
    <w:p w14:paraId="4DDECC15">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镜面反射；</w:t>
      </w:r>
    </w:p>
    <w:p w14:paraId="6B1C67C6">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多普勒效应（多普勒频移）应用于测高误差修正中。</w:t>
      </w:r>
    </w:p>
    <w:p w14:paraId="56EE3332">
      <w:pPr>
        <w:bidi w:val="0"/>
        <w:spacing w:line="360" w:lineRule="auto"/>
        <w:rPr>
          <w:rFonts w:hint="eastAsia" w:cstheme="minorBidi"/>
          <w:b/>
          <w:bCs/>
          <w:color w:val="000000" w:themeColor="text1"/>
          <w:lang w:val="en-US" w:eastAsia="zh-CN"/>
          <w14:textFill>
            <w14:solidFill>
              <w14:schemeClr w14:val="tx1"/>
            </w14:solidFill>
          </w14:textFill>
        </w:rPr>
      </w:pPr>
      <w:r>
        <w:rPr>
          <w:rFonts w:hint="eastAsia" w:cstheme="minorBidi"/>
          <w:b/>
          <w:bCs/>
          <w:color w:val="000000" w:themeColor="text1"/>
          <w:lang w:val="en-US" w:eastAsia="zh-CN"/>
          <w14:textFill>
            <w14:solidFill>
              <w14:schemeClr w14:val="tx1"/>
            </w14:solidFill>
          </w14:textFill>
        </w:rPr>
        <w:t>散射计</w:t>
      </w:r>
    </w:p>
    <w:p w14:paraId="00499EE6">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布喇格共振散射、镜面反射与散射计接收的标准化雷达后向散射界面、两尺度散射模型、经验模型有关。</w:t>
      </w:r>
    </w:p>
    <w:p w14:paraId="3D42A97C">
      <w:pPr>
        <w:bidi w:val="0"/>
        <w:spacing w:line="360" w:lineRule="auto"/>
        <w:rPr>
          <w:rFonts w:hint="eastAsia" w:cstheme="minorBidi"/>
          <w:b/>
          <w:bCs/>
          <w:color w:val="000000" w:themeColor="text1"/>
          <w:lang w:val="en-US" w:eastAsia="zh-CN"/>
          <w14:textFill>
            <w14:solidFill>
              <w14:schemeClr w14:val="tx1"/>
            </w14:solidFill>
          </w14:textFill>
        </w:rPr>
      </w:pPr>
      <w:r>
        <w:rPr>
          <w:rFonts w:hint="eastAsia" w:cstheme="minorBidi"/>
          <w:b/>
          <w:bCs/>
          <w:color w:val="000000" w:themeColor="text1"/>
          <w:lang w:val="en-US" w:eastAsia="zh-CN"/>
          <w14:textFill>
            <w14:solidFill>
              <w14:schemeClr w14:val="tx1"/>
            </w14:solidFill>
          </w14:textFill>
        </w:rPr>
        <w:t>SAR</w:t>
      </w:r>
    </w:p>
    <w:p w14:paraId="1F4BD42A">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镜面反射和与 SAR 的雷达波束到达地面后返回电磁波接收有关；</w:t>
      </w:r>
    </w:p>
    <w:p w14:paraId="679FADAC">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多普勒效应是合成孔径雷达的原理之一，产生的多普勒频率与方位分辨率的大小有关；</w:t>
      </w:r>
    </w:p>
    <w:p w14:paraId="444EE956">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布喇格共振散射能够让 SAR 观测海面粗糙度、海面风速。</w:t>
      </w:r>
    </w:p>
    <w:p w14:paraId="38677770">
      <w:pPr>
        <w:widowControl w:val="0"/>
        <w:numPr>
          <w:ilvl w:val="0"/>
          <w:numId w:val="0"/>
        </w:numPr>
        <w:jc w:val="both"/>
        <w:rPr>
          <w:rFonts w:hint="eastAsia"/>
        </w:rPr>
      </w:pPr>
    </w:p>
    <w:p w14:paraId="4F2BEE13">
      <w:pPr>
        <w:widowControl/>
        <w:spacing w:line="276" w:lineRule="auto"/>
        <w:rPr>
          <w:rFonts w:ascii="宋体" w:hAnsi="宋体" w:eastAsia="宋体" w:cs="宋体"/>
          <w:b/>
          <w:bCs/>
          <w:sz w:val="21"/>
          <w:szCs w:val="21"/>
        </w:rPr>
      </w:pPr>
      <w:r>
        <w:rPr>
          <w:rFonts w:hint="eastAsia" w:cstheme="minorBidi"/>
          <w:b/>
          <w:bCs/>
          <w:color w:val="000000" w:themeColor="text1"/>
          <w14:textFill>
            <w14:solidFill>
              <w14:schemeClr w14:val="tx1"/>
            </w14:solidFill>
          </w14:textFill>
        </w:rPr>
        <w:t>布喇格共振散射（Bragg-Resonant Scatter）</w:t>
      </w:r>
    </w:p>
    <w:p w14:paraId="7A24F3ED">
      <w:pPr>
        <w:widowControl/>
        <w:spacing w:line="276" w:lineRule="auto"/>
        <w:rPr>
          <w:rFonts w:ascii="宋体" w:hAnsi="宋体" w:eastAsia="宋体" w:cs="宋体"/>
          <w:sz w:val="21"/>
          <w:szCs w:val="21"/>
        </w:rPr>
      </w:pPr>
      <w:r>
        <w:rPr>
          <w:rFonts w:ascii="宋体" w:hAnsi="宋体" w:eastAsia="宋体" w:cs="宋体"/>
          <w:sz w:val="21"/>
          <w:szCs w:val="21"/>
        </w:rPr>
        <w:t>散射计接收的后向反射主要包括三部分：</w:t>
      </w:r>
    </w:p>
    <w:p w14:paraId="41B09673">
      <w:pPr>
        <w:numPr>
          <w:ilvl w:val="0"/>
          <w:numId w:val="0"/>
        </w:numPr>
        <w:ind w:left="360" w:leftChars="0"/>
      </w:pPr>
      <w:r>
        <w:t xml:space="preserve">• 一部分电磁波在海面上由镜面反射机制产生 </w:t>
      </w:r>
    </w:p>
    <w:p w14:paraId="78B58C5E">
      <w:pPr>
        <w:numPr>
          <w:ilvl w:val="0"/>
          <w:numId w:val="0"/>
        </w:numPr>
        <w:ind w:left="360" w:leftChars="0"/>
      </w:pPr>
      <w:r>
        <w:t>• 另一部分</w:t>
      </w:r>
      <w:r>
        <w:rPr>
          <w:rFonts w:hint="eastAsia"/>
          <w:lang w:val="en-US" w:eastAsia="zh-CN"/>
        </w:rPr>
        <w:t>由</w:t>
      </w:r>
      <w:r>
        <w:t xml:space="preserve">电磁波与海表面波浪之间的布拉格共振散射机制产生，可以用于反演风场 </w:t>
      </w:r>
    </w:p>
    <w:p w14:paraId="3EABBA41">
      <w:pPr>
        <w:numPr>
          <w:ilvl w:val="0"/>
          <w:numId w:val="0"/>
        </w:numPr>
        <w:ind w:left="360" w:leftChars="0"/>
      </w:pPr>
      <w:r>
        <w:t>• 一部分是无方向的漫反射</w:t>
      </w:r>
    </w:p>
    <w:p w14:paraId="11FA3872">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Bragg共振散射，是指雷达波在海面发射散射后，其回波中的各种分量在远场区相干叠加，从而产生的增强了某个特定尺度的具有周期性结构的散射，并且减弱了其他周期性结构散射的现象。下图展示了Bragg共振散射模型原理图，当粗糙海面波长λs、雷达入射波波长λ和雷达入射角θ满足关系式</w:t>
      </w:r>
      <w:r>
        <w:rPr>
          <w:rFonts w:hint="eastAsia" w:cstheme="minorBidi"/>
          <w:color w:val="000000" w:themeColor="text1"/>
          <w:position w:val="-12"/>
          <w:lang w:val="en-US" w:eastAsia="zh-CN"/>
          <w14:textFill>
            <w14:solidFill>
              <w14:schemeClr w14:val="tx1"/>
            </w14:solidFill>
          </w14:textFill>
        </w:rPr>
        <w:object>
          <v:shape id="_x0000_i1035" o:spt="75" type="#_x0000_t75" style="height:18pt;width:64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r>
        <w:rPr>
          <w:rFonts w:hint="eastAsia" w:cstheme="minorBidi"/>
          <w:color w:val="000000" w:themeColor="text1"/>
          <w:lang w:val="en-US" w:eastAsia="zh-CN"/>
          <w14:textFill>
            <w14:solidFill>
              <w14:schemeClr w14:val="tx1"/>
            </w14:solidFill>
          </w14:textFill>
        </w:rPr>
        <w:t>时，两处回波信号的相位差是</w:t>
      </w:r>
      <w:r>
        <w:rPr>
          <w:rFonts w:hint="eastAsia" w:cstheme="minorBidi"/>
          <w:color w:val="000000" w:themeColor="text1"/>
          <w:position w:val="-6"/>
          <w:lang w:val="en-US" w:eastAsia="zh-CN"/>
          <w14:textFill>
            <w14:solidFill>
              <w14:schemeClr w14:val="tx1"/>
            </w14:solidFill>
          </w14:textFill>
        </w:rPr>
        <w:object>
          <v:shape id="_x0000_i1036" o:spt="75" type="#_x0000_t75" style="height:13.95pt;width:18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r>
        <w:rPr>
          <w:rFonts w:hint="eastAsia" w:cstheme="minorBidi"/>
          <w:color w:val="000000" w:themeColor="text1"/>
          <w:lang w:val="en-US" w:eastAsia="zh-CN"/>
          <w14:textFill>
            <w14:solidFill>
              <w14:schemeClr w14:val="tx1"/>
            </w14:solidFill>
          </w14:textFill>
        </w:rPr>
        <w:t>，</w:t>
      </w:r>
      <w:r>
        <w:rPr>
          <w:rFonts w:hint="eastAsia" w:cstheme="minorBidi"/>
          <w:b/>
          <w:bCs/>
          <w:color w:val="000000" w:themeColor="text1"/>
          <w:lang w:val="en-US" w:eastAsia="zh-CN"/>
          <w14:textFill>
            <w14:solidFill>
              <w14:schemeClr w14:val="tx1"/>
            </w14:solidFill>
          </w14:textFill>
        </w:rPr>
        <w:t>后向散射电磁波的相位相同，两处回波信号的同相相加增强了该周期性结构的散射</w:t>
      </w:r>
      <w:r>
        <w:rPr>
          <w:rFonts w:hint="eastAsia" w:cstheme="minorBidi"/>
          <w:color w:val="000000" w:themeColor="text1"/>
          <w:lang w:val="en-US" w:eastAsia="zh-CN"/>
          <w14:textFill>
            <w14:solidFill>
              <w14:schemeClr w14:val="tx1"/>
            </w14:solidFill>
          </w14:textFill>
        </w:rPr>
        <w:t>，故而产生Bragg共振。</w:t>
      </w:r>
    </w:p>
    <w:p w14:paraId="5CDBA099">
      <w:pPr>
        <w:widowControl/>
        <w:spacing w:line="276" w:lineRule="auto"/>
      </w:pPr>
      <w:r>
        <w:drawing>
          <wp:inline distT="0" distB="0" distL="114300" distR="114300">
            <wp:extent cx="2154555" cy="1560830"/>
            <wp:effectExtent l="0" t="0" r="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0"/>
                    <a:srcRect t="17793"/>
                    <a:stretch>
                      <a:fillRect/>
                    </a:stretch>
                  </pic:blipFill>
                  <pic:spPr>
                    <a:xfrm>
                      <a:off x="0" y="0"/>
                      <a:ext cx="2154555" cy="1560830"/>
                    </a:xfrm>
                    <a:prstGeom prst="rect">
                      <a:avLst/>
                    </a:prstGeom>
                    <a:noFill/>
                    <a:ln>
                      <a:noFill/>
                    </a:ln>
                  </pic:spPr>
                </pic:pic>
              </a:graphicData>
            </a:graphic>
          </wp:inline>
        </w:drawing>
      </w:r>
    </w:p>
    <w:p w14:paraId="37C8663F">
      <w:pPr>
        <w:widowControl/>
        <w:spacing w:line="276" w:lineRule="auto"/>
      </w:pPr>
      <w:r>
        <w:drawing>
          <wp:inline distT="0" distB="0" distL="114300" distR="114300">
            <wp:extent cx="5272405" cy="2931795"/>
            <wp:effectExtent l="0" t="0" r="635" b="952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31"/>
                    <a:stretch>
                      <a:fillRect/>
                    </a:stretch>
                  </pic:blipFill>
                  <pic:spPr>
                    <a:xfrm>
                      <a:off x="0" y="0"/>
                      <a:ext cx="5272405" cy="2931795"/>
                    </a:xfrm>
                    <a:prstGeom prst="rect">
                      <a:avLst/>
                    </a:prstGeom>
                    <a:noFill/>
                    <a:ln>
                      <a:noFill/>
                    </a:ln>
                  </pic:spPr>
                </pic:pic>
              </a:graphicData>
            </a:graphic>
          </wp:inline>
        </w:drawing>
      </w:r>
    </w:p>
    <w:p w14:paraId="41C607D1">
      <w:pPr>
        <w:bidi w:val="0"/>
        <w:spacing w:line="360" w:lineRule="auto"/>
        <w:rPr>
          <w:rFonts w:hint="eastAsia" w:cstheme="minorBidi"/>
          <w:b/>
          <w:bCs/>
          <w:color w:val="000000" w:themeColor="text1"/>
          <w14:textFill>
            <w14:solidFill>
              <w14:schemeClr w14:val="tx1"/>
            </w14:solidFill>
          </w14:textFill>
        </w:rPr>
      </w:pPr>
      <w:r>
        <w:rPr>
          <w:rFonts w:hint="eastAsia" w:cstheme="minorBidi"/>
          <w:b/>
          <w:bCs/>
          <w:color w:val="000000" w:themeColor="text1"/>
          <w14:textFill>
            <w14:solidFill>
              <w14:schemeClr w14:val="tx1"/>
            </w14:solidFill>
          </w14:textFill>
        </w:rPr>
        <w:t>镜面反射(Specular Reflectance)</w:t>
      </w:r>
    </w:p>
    <w:p w14:paraId="53DFC3A7">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 xml:space="preserve">• 镜面反射是海表面上许多像镜子似的小平面（mirror-like facets of the sea surface）的反射产生的，这些小平面的尺度应大于被反射的电磁波的波长。 </w:t>
      </w:r>
    </w:p>
    <w:p w14:paraId="5243CFCF">
      <w:pPr>
        <w:bidi w:val="0"/>
        <w:spacing w:line="360" w:lineRule="auto"/>
        <w:ind w:firstLine="420" w:firstLineChars="200"/>
        <w:rPr>
          <w:rFonts w:hint="eastAsia" w:cstheme="minorBidi"/>
          <w:color w:val="000000" w:themeColor="text1"/>
          <w:lang w:val="en-US" w:eastAsia="zh-CN"/>
          <w14:textFill>
            <w14:solidFill>
              <w14:schemeClr w14:val="tx1"/>
            </w14:solidFill>
          </w14:textFill>
        </w:rPr>
      </w:pPr>
      <w:r>
        <w:rPr>
          <w:rFonts w:hint="eastAsia" w:cstheme="minorBidi"/>
          <w:color w:val="000000" w:themeColor="text1"/>
          <w:lang w:val="en-US" w:eastAsia="zh-CN"/>
          <w14:textFill>
            <w14:solidFill>
              <w14:schemeClr w14:val="tx1"/>
            </w14:solidFill>
          </w14:textFill>
        </w:rPr>
        <w:t>• 根据镜面反射理论，传感器能够接收在海表面上像镜子似的每个小平面反射的电磁波；相对于这些在海表面上像镜子似的小平面，雷达波束的局地 入射角</w:t>
      </w:r>
      <w:r>
        <w:rPr>
          <w:rFonts w:hint="eastAsia" w:cstheme="minorBidi"/>
          <w:color w:val="000000" w:themeColor="text1"/>
          <w:position w:val="-6"/>
          <w:lang w:val="en-US" w:eastAsia="zh-CN"/>
          <w14:textFill>
            <w14:solidFill>
              <w14:schemeClr w14:val="tx1"/>
            </w14:solidFill>
          </w14:textFill>
        </w:rPr>
        <w:object>
          <v:shape id="_x0000_i1037" o:spt="75" type="#_x0000_t75" style="height:13.95pt;width:10pt;" o:ole="t" filled="f" o:preferrelative="t" stroked="f" coordsize="21600,21600">
            <v:path/>
            <v:fill on="f" focussize="0,0"/>
            <v:stroke on="f"/>
            <v:imagedata r:id="rId33" o:title=""/>
            <o:lock v:ext="edit" aspectratio="t"/>
            <w10:wrap type="none"/>
            <w10:anchorlock/>
          </v:shape>
          <o:OLEObject Type="Embed" ProgID="Equation.KSEE3" ShapeID="_x0000_i1037" DrawAspect="Content" ObjectID="_1468075737" r:id="rId32">
            <o:LockedField>false</o:LockedField>
          </o:OLEObject>
        </w:object>
      </w:r>
      <w:r>
        <w:rPr>
          <w:rFonts w:hint="eastAsia" w:cstheme="minorBidi"/>
          <w:color w:val="000000" w:themeColor="text1"/>
          <w:lang w:val="en-US" w:eastAsia="zh-CN"/>
          <w14:textFill>
            <w14:solidFill>
              <w14:schemeClr w14:val="tx1"/>
            </w14:solidFill>
          </w14:textFill>
        </w:rPr>
        <w:t xml:space="preserve"> ~ 0。相反，当地入射角不为零的那些小平面反射的雷达波束 （radar beam）不能返回传感器。</w:t>
      </w:r>
    </w:p>
    <w:p w14:paraId="759E1239">
      <w:pPr>
        <w:bidi w:val="0"/>
        <w:spacing w:line="360" w:lineRule="auto"/>
        <w:rPr>
          <w:rFonts w:hint="eastAsia" w:cstheme="minorBidi"/>
          <w:b/>
          <w:bCs/>
          <w:color w:val="000000" w:themeColor="text1"/>
          <w:lang w:val="en-US" w:eastAsia="zh-CN"/>
          <w14:textFill>
            <w14:solidFill>
              <w14:schemeClr w14:val="tx1"/>
            </w14:solidFill>
          </w14:textFill>
        </w:rPr>
      </w:pPr>
      <w:r>
        <w:rPr>
          <w:rFonts w:hint="eastAsia" w:cstheme="minorBidi"/>
          <w:b/>
          <w:bCs/>
          <w:color w:val="000000" w:themeColor="text1"/>
          <w:lang w:val="en-US" w:eastAsia="zh-CN"/>
          <w14:textFill>
            <w14:solidFill>
              <w14:schemeClr w14:val="tx1"/>
            </w14:solidFill>
          </w14:textFill>
        </w:rPr>
        <w:t>多普勒效应</w:t>
      </w:r>
    </w:p>
    <w:p w14:paraId="6CD06C71">
      <w:pPr>
        <w:bidi w:val="0"/>
        <w:spacing w:line="360" w:lineRule="auto"/>
        <w:ind w:firstLine="420" w:firstLineChars="200"/>
        <w:rPr>
          <w:rFonts w:ascii="宋体" w:hAnsi="宋体" w:eastAsia="宋体" w:cs="宋体"/>
          <w:sz w:val="24"/>
          <w:szCs w:val="24"/>
        </w:rPr>
      </w:pPr>
      <w:r>
        <w:rPr>
          <w:rFonts w:hint="eastAsia" w:cstheme="minorBidi"/>
          <w:b w:val="0"/>
          <w:bCs w:val="0"/>
          <w:color w:val="000000" w:themeColor="text1"/>
          <w:lang w:val="en-US" w:eastAsia="zh-CN"/>
          <w14:textFill>
            <w14:solidFill>
              <w14:schemeClr w14:val="tx1"/>
            </w14:solidFill>
          </w14:textFill>
        </w:rPr>
        <w:t>由于平台的移动，相对于地面目标，雷达信号的频率会发生变化，这种现象称为多普勒效应，SAR利用这种频率变化来区分不同距离的目标。</w:t>
      </w:r>
    </w:p>
    <w:p w14:paraId="73B47239">
      <w:pPr>
        <w:widowControl/>
        <w:spacing w:line="276" w:lineRule="auto"/>
        <w:rPr>
          <w:rFonts w:hint="eastAsia" w:ascii="宋体" w:hAnsi="宋体" w:eastAsia="宋体" w:cs="宋体"/>
          <w:b/>
          <w:bCs/>
          <w:sz w:val="24"/>
          <w:szCs w:val="24"/>
        </w:rPr>
      </w:pPr>
      <w:r>
        <w:rPr>
          <w:rFonts w:hint="eastAsia" w:ascii="宋体" w:hAnsi="宋体" w:eastAsia="宋体" w:cs="宋体"/>
          <w:b/>
          <w:bCs/>
          <w:sz w:val="24"/>
          <w:szCs w:val="24"/>
        </w:rPr>
        <w:t>海面发射率（Sea Surface Emissivity）</w:t>
      </w:r>
    </w:p>
    <w:p w14:paraId="7C594119">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与微波辐射计遥感有关：微波辐射计通过接收海面自身发射的微波辐射来获取信息。海面发射率是描述海面发射微波能力的物理量，它与海面的温度、盐度、粗糙度等物理特性有关。通过测量不同频率下的海面发射率，可以反推海面的这些物理特性，如海面温度等。</w:t>
      </w:r>
    </w:p>
    <w:p w14:paraId="70E546DC">
      <w:pPr>
        <w:bidi w:val="0"/>
        <w:spacing w:line="360" w:lineRule="auto"/>
        <w:rPr>
          <w:rFonts w:hint="eastAsia" w:cstheme="minorBidi"/>
          <w:b/>
          <w:bCs/>
          <w:color w:val="000000" w:themeColor="text1"/>
          <w:lang w:val="en-US" w:eastAsia="zh-CN"/>
          <w14:textFill>
            <w14:solidFill>
              <w14:schemeClr w14:val="tx1"/>
            </w14:solidFill>
          </w14:textFill>
        </w:rPr>
      </w:pPr>
      <w:r>
        <w:rPr>
          <w:rFonts w:hint="eastAsia" w:cstheme="minorBidi"/>
          <w:b/>
          <w:bCs/>
          <w:color w:val="000000" w:themeColor="text1"/>
          <w:lang w:val="en-US" w:eastAsia="zh-CN"/>
          <w14:textFill>
            <w14:solidFill>
              <w14:schemeClr w14:val="tx1"/>
            </w14:solidFill>
          </w14:textFill>
        </w:rPr>
        <w:t>德拜方程（Debye Equation）</w:t>
      </w:r>
    </w:p>
    <w:p w14:paraId="4389521E">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与微波辐射计遥感有关：德拜方程在描述物质的介电特性方面有重要意义。在微波辐射计遥感中，它可以用于理解和分析海面的介电特性，进而通过介电特性与其他物理量（如海水盐度、温度等）的关系，来反演这些物理量的信息。</w:t>
      </w:r>
    </w:p>
    <w:p w14:paraId="3FDDB225">
      <w:pPr>
        <w:widowControl/>
        <w:spacing w:line="276" w:lineRule="auto"/>
        <w:rPr>
          <w:rFonts w:hint="eastAsia" w:ascii="宋体" w:hAnsi="宋体" w:eastAsia="宋体" w:cs="宋体"/>
          <w:sz w:val="24"/>
          <w:szCs w:val="24"/>
        </w:rPr>
      </w:pPr>
    </w:p>
    <w:p w14:paraId="5D152508">
      <w:pPr>
        <w:pStyle w:val="2"/>
        <w:numPr>
          <w:ilvl w:val="0"/>
          <w:numId w:val="3"/>
        </w:numPr>
        <w:bidi w:val="0"/>
        <w:spacing w:before="0" w:after="0" w:line="360" w:lineRule="auto"/>
        <w:rPr>
          <w:rFonts w:hint="eastAsia" w:cstheme="minorBidi"/>
          <w:color w:val="000000" w:themeColor="text1"/>
          <w14:textFill>
            <w14:solidFill>
              <w14:schemeClr w14:val="tx1"/>
            </w14:solidFill>
          </w14:textFill>
        </w:rPr>
      </w:pPr>
      <w:r>
        <w:rPr>
          <w:rFonts w:hint="eastAsia" w:cstheme="minorBidi"/>
          <w:color w:val="000000" w:themeColor="text1"/>
          <w14:textFill>
            <w14:solidFill>
              <w14:schemeClr w14:val="tx1"/>
            </w14:solidFill>
          </w14:textFill>
        </w:rPr>
        <w:t>请简要介绍高度计、水色扫描仪、红外辐射计、微波辐射计、合成孔径雷达、散射计的一至两项主要用途。指出属于被动还是主动遥感方式，并指出属于可见光、红外、微波三种波段类型中何种。</w:t>
      </w:r>
    </w:p>
    <w:tbl>
      <w:tblPr>
        <w:tblStyle w:val="14"/>
        <w:tblW w:w="8302" w:type="dxa"/>
        <w:tblInd w:w="17" w:type="dxa"/>
        <w:tblBorders>
          <w:top w:val="single" w:color="9CC2E5" w:sz="2" w:space="0"/>
          <w:left w:val="single" w:color="9CC2E5" w:sz="2" w:space="0"/>
          <w:bottom w:val="single" w:color="9CC2E5" w:sz="2" w:space="0"/>
          <w:right w:val="single" w:color="9CC2E5" w:sz="2" w:space="0"/>
          <w:insideH w:val="single" w:color="9CC2E5" w:sz="2" w:space="0"/>
          <w:insideV w:val="single" w:color="9CC2E5" w:sz="2" w:space="0"/>
        </w:tblBorders>
        <w:tblLayout w:type="fixed"/>
        <w:tblCellMar>
          <w:top w:w="0" w:type="dxa"/>
          <w:left w:w="0" w:type="dxa"/>
          <w:bottom w:w="0" w:type="dxa"/>
          <w:right w:w="0" w:type="dxa"/>
        </w:tblCellMar>
      </w:tblPr>
      <w:tblGrid>
        <w:gridCol w:w="2077"/>
        <w:gridCol w:w="2072"/>
        <w:gridCol w:w="2075"/>
        <w:gridCol w:w="2078"/>
      </w:tblGrid>
      <w:tr w14:paraId="653FE421">
        <w:tblPrEx>
          <w:tblBorders>
            <w:top w:val="single" w:color="9CC2E5" w:sz="2" w:space="0"/>
            <w:left w:val="single" w:color="9CC2E5" w:sz="2" w:space="0"/>
            <w:bottom w:val="single" w:color="9CC2E5" w:sz="2" w:space="0"/>
            <w:right w:val="single" w:color="9CC2E5" w:sz="2" w:space="0"/>
            <w:insideH w:val="single" w:color="9CC2E5" w:sz="2" w:space="0"/>
            <w:insideV w:val="single" w:color="9CC2E5" w:sz="2" w:space="0"/>
          </w:tblBorders>
          <w:tblCellMar>
            <w:top w:w="0" w:type="dxa"/>
            <w:left w:w="0" w:type="dxa"/>
            <w:bottom w:w="0" w:type="dxa"/>
            <w:right w:w="0" w:type="dxa"/>
          </w:tblCellMar>
        </w:tblPrEx>
        <w:trPr>
          <w:trHeight w:val="323" w:hRule="atLeast"/>
        </w:trPr>
        <w:tc>
          <w:tcPr>
            <w:tcW w:w="8302" w:type="dxa"/>
            <w:gridSpan w:val="4"/>
            <w:tcBorders>
              <w:top w:val="single" w:color="5B9BD5" w:sz="2" w:space="0"/>
              <w:left w:val="single" w:color="5B9BD5" w:sz="2" w:space="0"/>
              <w:bottom w:val="single" w:color="5B9BD5" w:sz="2" w:space="0"/>
              <w:right w:val="single" w:color="5B9BD5" w:sz="2" w:space="0"/>
            </w:tcBorders>
            <w:shd w:val="clear" w:color="auto" w:fill="5B9BD5"/>
          </w:tcPr>
          <w:p w14:paraId="20D34D0E">
            <w:pPr>
              <w:spacing w:before="42" w:line="208" w:lineRule="auto"/>
              <w:ind w:left="2209"/>
              <w:rPr>
                <w:rFonts w:ascii="楷体" w:hAnsi="楷体" w:eastAsia="楷体" w:cs="楷体"/>
                <w:sz w:val="24"/>
                <w:szCs w:val="24"/>
              </w:rPr>
            </w:pPr>
            <w:r>
              <w:rPr>
                <w:rFonts w:ascii="楷体" w:hAnsi="楷体" w:eastAsia="楷体" w:cs="楷体"/>
                <w:b/>
                <w:bCs/>
                <w:color w:val="FFFFFF"/>
                <w:spacing w:val="-8"/>
                <w:sz w:val="24"/>
                <w:szCs w:val="24"/>
              </w:rPr>
              <w:t>用途</w:t>
            </w:r>
            <w:r>
              <w:rPr>
                <w:rFonts w:ascii="楷体" w:hAnsi="楷体" w:eastAsia="楷体" w:cs="楷体"/>
                <w:color w:val="FFFFFF"/>
                <w:spacing w:val="3"/>
                <w:sz w:val="24"/>
                <w:szCs w:val="24"/>
              </w:rPr>
              <w:t xml:space="preserve">             </w:t>
            </w:r>
            <w:r>
              <w:rPr>
                <w:rFonts w:ascii="楷体" w:hAnsi="楷体" w:eastAsia="楷体" w:cs="楷体"/>
                <w:b/>
                <w:bCs/>
                <w:color w:val="FFFFFF"/>
                <w:spacing w:val="-8"/>
                <w:sz w:val="24"/>
                <w:szCs w:val="24"/>
              </w:rPr>
              <w:t>遥感方式</w:t>
            </w:r>
            <w:r>
              <w:rPr>
                <w:rFonts w:ascii="楷体" w:hAnsi="楷体" w:eastAsia="楷体" w:cs="楷体"/>
                <w:color w:val="FFFFFF"/>
                <w:spacing w:val="6"/>
                <w:sz w:val="24"/>
                <w:szCs w:val="24"/>
              </w:rPr>
              <w:t xml:space="preserve">         </w:t>
            </w:r>
            <w:r>
              <w:rPr>
                <w:rFonts w:ascii="楷体" w:hAnsi="楷体" w:eastAsia="楷体" w:cs="楷体"/>
                <w:b/>
                <w:bCs/>
                <w:color w:val="FFFFFF"/>
                <w:spacing w:val="-8"/>
                <w:sz w:val="24"/>
                <w:szCs w:val="24"/>
              </w:rPr>
              <w:t>波段</w:t>
            </w:r>
          </w:p>
        </w:tc>
      </w:tr>
      <w:tr w14:paraId="29563D39">
        <w:tblPrEx>
          <w:tblBorders>
            <w:top w:val="single" w:color="9CC2E5" w:sz="2" w:space="0"/>
            <w:left w:val="single" w:color="9CC2E5" w:sz="2" w:space="0"/>
            <w:bottom w:val="single" w:color="9CC2E5" w:sz="2" w:space="0"/>
            <w:right w:val="single" w:color="9CC2E5" w:sz="2" w:space="0"/>
            <w:insideH w:val="single" w:color="9CC2E5" w:sz="2" w:space="0"/>
            <w:insideV w:val="single" w:color="9CC2E5" w:sz="2" w:space="0"/>
          </w:tblBorders>
          <w:tblCellMar>
            <w:top w:w="0" w:type="dxa"/>
            <w:left w:w="0" w:type="dxa"/>
            <w:bottom w:w="0" w:type="dxa"/>
            <w:right w:w="0" w:type="dxa"/>
          </w:tblCellMar>
        </w:tblPrEx>
        <w:trPr>
          <w:trHeight w:val="627" w:hRule="atLeast"/>
        </w:trPr>
        <w:tc>
          <w:tcPr>
            <w:tcW w:w="2077" w:type="dxa"/>
            <w:shd w:val="clear" w:color="auto" w:fill="DEEAF6"/>
          </w:tcPr>
          <w:p w14:paraId="5F1FC238">
            <w:pPr>
              <w:spacing w:before="36" w:line="220" w:lineRule="auto"/>
              <w:ind w:left="138"/>
              <w:rPr>
                <w:rFonts w:ascii="楷体" w:hAnsi="楷体" w:eastAsia="楷体" w:cs="楷体"/>
                <w:sz w:val="24"/>
                <w:szCs w:val="24"/>
              </w:rPr>
            </w:pPr>
            <w:r>
              <w:rPr>
                <w:rFonts w:ascii="楷体" w:hAnsi="楷体" w:eastAsia="楷体" w:cs="楷体"/>
                <w:b/>
                <w:bCs/>
                <w:spacing w:val="-13"/>
                <w:sz w:val="24"/>
                <w:szCs w:val="24"/>
              </w:rPr>
              <w:t>高度计</w:t>
            </w:r>
          </w:p>
        </w:tc>
        <w:tc>
          <w:tcPr>
            <w:tcW w:w="2072" w:type="dxa"/>
            <w:shd w:val="clear" w:color="auto" w:fill="DEEAF6"/>
          </w:tcPr>
          <w:p w14:paraId="606ABE53">
            <w:pPr>
              <w:spacing w:before="37" w:line="223" w:lineRule="auto"/>
              <w:ind w:left="124" w:right="104" w:firstLine="17"/>
              <w:rPr>
                <w:rFonts w:ascii="楷体" w:hAnsi="楷体" w:eastAsia="楷体" w:cs="楷体"/>
                <w:sz w:val="24"/>
                <w:szCs w:val="24"/>
              </w:rPr>
            </w:pPr>
            <w:r>
              <w:rPr>
                <w:rFonts w:ascii="楷体" w:hAnsi="楷体" w:eastAsia="楷体" w:cs="楷体"/>
                <w:spacing w:val="-13"/>
                <w:sz w:val="24"/>
                <w:szCs w:val="24"/>
              </w:rPr>
              <w:t>中尺度涡、罗斯贝</w:t>
            </w:r>
            <w:r>
              <w:rPr>
                <w:rFonts w:ascii="楷体" w:hAnsi="楷体" w:eastAsia="楷体" w:cs="楷体"/>
                <w:spacing w:val="3"/>
                <w:sz w:val="24"/>
                <w:szCs w:val="24"/>
              </w:rPr>
              <w:t xml:space="preserve"> </w:t>
            </w:r>
            <w:r>
              <w:rPr>
                <w:rFonts w:ascii="楷体" w:hAnsi="楷体" w:eastAsia="楷体" w:cs="楷体"/>
                <w:sz w:val="24"/>
                <w:szCs w:val="24"/>
              </w:rPr>
              <w:t>波</w:t>
            </w:r>
          </w:p>
        </w:tc>
        <w:tc>
          <w:tcPr>
            <w:tcW w:w="2075" w:type="dxa"/>
            <w:shd w:val="clear" w:color="auto" w:fill="DEEAF6"/>
          </w:tcPr>
          <w:p w14:paraId="7A146A23">
            <w:pPr>
              <w:spacing w:before="36" w:line="226" w:lineRule="auto"/>
              <w:ind w:left="120"/>
              <w:rPr>
                <w:rFonts w:ascii="楷体" w:hAnsi="楷体" w:eastAsia="楷体" w:cs="楷体"/>
                <w:sz w:val="24"/>
                <w:szCs w:val="24"/>
              </w:rPr>
            </w:pPr>
            <w:r>
              <w:rPr>
                <w:rFonts w:ascii="楷体" w:hAnsi="楷体" w:eastAsia="楷体" w:cs="楷体"/>
                <w:spacing w:val="-3"/>
                <w:sz w:val="24"/>
                <w:szCs w:val="24"/>
              </w:rPr>
              <w:t>主动遥感</w:t>
            </w:r>
          </w:p>
        </w:tc>
        <w:tc>
          <w:tcPr>
            <w:tcW w:w="2078" w:type="dxa"/>
            <w:shd w:val="clear" w:color="auto" w:fill="DEEAF6"/>
          </w:tcPr>
          <w:p w14:paraId="7C38C7CF">
            <w:pPr>
              <w:spacing w:before="37" w:line="217" w:lineRule="auto"/>
              <w:ind w:left="126"/>
              <w:rPr>
                <w:rFonts w:hint="eastAsia" w:ascii="楷体" w:hAnsi="楷体" w:eastAsia="楷体" w:cs="楷体"/>
                <w:sz w:val="24"/>
                <w:szCs w:val="24"/>
                <w:lang w:eastAsia="zh-CN"/>
              </w:rPr>
            </w:pPr>
            <w:r>
              <w:rPr>
                <w:rFonts w:hint="eastAsia" w:ascii="楷体" w:hAnsi="楷体" w:eastAsia="楷体" w:cs="楷体"/>
                <w:spacing w:val="-3"/>
                <w:sz w:val="24"/>
                <w:szCs w:val="24"/>
                <w:lang w:val="en-US" w:eastAsia="zh-CN"/>
              </w:rPr>
              <w:t>微波</w:t>
            </w:r>
          </w:p>
        </w:tc>
      </w:tr>
      <w:tr w14:paraId="4F3CCB76">
        <w:tblPrEx>
          <w:tblBorders>
            <w:top w:val="single" w:color="9CC2E5" w:sz="2" w:space="0"/>
            <w:left w:val="single" w:color="9CC2E5" w:sz="2" w:space="0"/>
            <w:bottom w:val="single" w:color="9CC2E5" w:sz="2" w:space="0"/>
            <w:right w:val="single" w:color="9CC2E5" w:sz="2" w:space="0"/>
            <w:insideH w:val="single" w:color="9CC2E5" w:sz="2" w:space="0"/>
            <w:insideV w:val="single" w:color="9CC2E5" w:sz="2" w:space="0"/>
          </w:tblBorders>
          <w:tblCellMar>
            <w:top w:w="0" w:type="dxa"/>
            <w:left w:w="0" w:type="dxa"/>
            <w:bottom w:w="0" w:type="dxa"/>
            <w:right w:w="0" w:type="dxa"/>
          </w:tblCellMar>
        </w:tblPrEx>
        <w:trPr>
          <w:trHeight w:val="316" w:hRule="atLeast"/>
        </w:trPr>
        <w:tc>
          <w:tcPr>
            <w:tcW w:w="2077" w:type="dxa"/>
          </w:tcPr>
          <w:p w14:paraId="6C777245">
            <w:pPr>
              <w:spacing w:before="38" w:line="206" w:lineRule="auto"/>
              <w:ind w:left="122"/>
              <w:rPr>
                <w:rFonts w:ascii="楷体" w:hAnsi="楷体" w:eastAsia="楷体" w:cs="楷体"/>
                <w:sz w:val="24"/>
                <w:szCs w:val="24"/>
              </w:rPr>
            </w:pPr>
            <w:r>
              <w:rPr>
                <w:rFonts w:ascii="楷体" w:hAnsi="楷体" w:eastAsia="楷体" w:cs="楷体"/>
                <w:b/>
                <w:bCs/>
                <w:spacing w:val="-5"/>
                <w:sz w:val="24"/>
                <w:szCs w:val="24"/>
              </w:rPr>
              <w:t>水色扫描仪</w:t>
            </w:r>
          </w:p>
        </w:tc>
        <w:tc>
          <w:tcPr>
            <w:tcW w:w="2072" w:type="dxa"/>
          </w:tcPr>
          <w:p w14:paraId="3D67B49B">
            <w:pPr>
              <w:spacing w:before="38" w:line="206" w:lineRule="auto"/>
              <w:ind w:left="130"/>
              <w:rPr>
                <w:rFonts w:ascii="楷体" w:hAnsi="楷体" w:eastAsia="楷体" w:cs="楷体"/>
                <w:sz w:val="24"/>
                <w:szCs w:val="24"/>
              </w:rPr>
            </w:pPr>
            <w:r>
              <w:rPr>
                <w:rFonts w:ascii="楷体" w:hAnsi="楷体" w:eastAsia="楷体" w:cs="楷体"/>
                <w:spacing w:val="-4"/>
                <w:sz w:val="24"/>
                <w:szCs w:val="24"/>
              </w:rPr>
              <w:t>油污染、赤潮</w:t>
            </w:r>
          </w:p>
        </w:tc>
        <w:tc>
          <w:tcPr>
            <w:tcW w:w="2075" w:type="dxa"/>
          </w:tcPr>
          <w:p w14:paraId="4E887BBE">
            <w:pPr>
              <w:spacing w:before="38" w:line="206" w:lineRule="auto"/>
              <w:ind w:left="111"/>
              <w:rPr>
                <w:rFonts w:ascii="楷体" w:hAnsi="楷体" w:eastAsia="楷体" w:cs="楷体"/>
                <w:sz w:val="24"/>
                <w:szCs w:val="24"/>
              </w:rPr>
            </w:pPr>
            <w:r>
              <w:rPr>
                <w:rFonts w:ascii="楷体" w:hAnsi="楷体" w:eastAsia="楷体" w:cs="楷体"/>
                <w:spacing w:val="-1"/>
                <w:sz w:val="24"/>
                <w:szCs w:val="24"/>
              </w:rPr>
              <w:t>被动遥感</w:t>
            </w:r>
          </w:p>
        </w:tc>
        <w:tc>
          <w:tcPr>
            <w:tcW w:w="2078" w:type="dxa"/>
          </w:tcPr>
          <w:p w14:paraId="65001544">
            <w:pPr>
              <w:spacing w:before="38" w:line="206" w:lineRule="auto"/>
              <w:ind w:left="126"/>
              <w:rPr>
                <w:rFonts w:ascii="楷体" w:hAnsi="楷体" w:eastAsia="楷体" w:cs="楷体"/>
                <w:sz w:val="24"/>
                <w:szCs w:val="24"/>
              </w:rPr>
            </w:pPr>
            <w:r>
              <w:rPr>
                <w:rFonts w:ascii="楷体" w:hAnsi="楷体" w:eastAsia="楷体" w:cs="楷体"/>
                <w:spacing w:val="-3"/>
                <w:sz w:val="24"/>
                <w:szCs w:val="24"/>
              </w:rPr>
              <w:t>可见光、近红外</w:t>
            </w:r>
          </w:p>
        </w:tc>
      </w:tr>
      <w:tr w14:paraId="24262ED6">
        <w:tblPrEx>
          <w:tblBorders>
            <w:top w:val="single" w:color="9CC2E5" w:sz="2" w:space="0"/>
            <w:left w:val="single" w:color="9CC2E5" w:sz="2" w:space="0"/>
            <w:bottom w:val="single" w:color="9CC2E5" w:sz="2" w:space="0"/>
            <w:right w:val="single" w:color="9CC2E5" w:sz="2" w:space="0"/>
            <w:insideH w:val="single" w:color="9CC2E5" w:sz="2" w:space="0"/>
            <w:insideV w:val="single" w:color="9CC2E5" w:sz="2" w:space="0"/>
          </w:tblBorders>
          <w:tblCellMar>
            <w:top w:w="0" w:type="dxa"/>
            <w:left w:w="0" w:type="dxa"/>
            <w:bottom w:w="0" w:type="dxa"/>
            <w:right w:w="0" w:type="dxa"/>
          </w:tblCellMar>
        </w:tblPrEx>
        <w:trPr>
          <w:trHeight w:val="628" w:hRule="atLeast"/>
        </w:trPr>
        <w:tc>
          <w:tcPr>
            <w:tcW w:w="2077" w:type="dxa"/>
            <w:shd w:val="clear" w:color="auto" w:fill="DEEAF6"/>
          </w:tcPr>
          <w:p w14:paraId="6A564E13">
            <w:pPr>
              <w:spacing w:before="39" w:line="217" w:lineRule="auto"/>
              <w:ind w:left="132"/>
              <w:rPr>
                <w:rFonts w:ascii="楷体" w:hAnsi="楷体" w:eastAsia="楷体" w:cs="楷体"/>
                <w:sz w:val="24"/>
                <w:szCs w:val="24"/>
              </w:rPr>
            </w:pPr>
            <w:r>
              <w:rPr>
                <w:rFonts w:ascii="楷体" w:hAnsi="楷体" w:eastAsia="楷体" w:cs="楷体"/>
                <w:b/>
                <w:bCs/>
                <w:spacing w:val="-7"/>
                <w:sz w:val="24"/>
                <w:szCs w:val="24"/>
              </w:rPr>
              <w:t>红外辐射计</w:t>
            </w:r>
          </w:p>
        </w:tc>
        <w:tc>
          <w:tcPr>
            <w:tcW w:w="2072" w:type="dxa"/>
            <w:shd w:val="clear" w:color="auto" w:fill="DEEAF6"/>
          </w:tcPr>
          <w:p w14:paraId="0BFE1170">
            <w:pPr>
              <w:spacing w:before="38" w:line="223" w:lineRule="auto"/>
              <w:ind w:left="112" w:right="104" w:firstLine="14"/>
              <w:rPr>
                <w:rFonts w:ascii="楷体" w:hAnsi="楷体" w:eastAsia="楷体" w:cs="楷体"/>
                <w:sz w:val="24"/>
                <w:szCs w:val="24"/>
                <w:lang w:eastAsia="zh-CN"/>
              </w:rPr>
            </w:pPr>
            <w:r>
              <w:rPr>
                <w:rFonts w:ascii="楷体" w:hAnsi="楷体" w:eastAsia="楷体" w:cs="楷体"/>
                <w:spacing w:val="21"/>
                <w:sz w:val="24"/>
                <w:szCs w:val="24"/>
                <w:lang w:eastAsia="zh-CN"/>
              </w:rPr>
              <w:t>海表面温度异常</w:t>
            </w:r>
            <w:r>
              <w:rPr>
                <w:rFonts w:ascii="楷体" w:hAnsi="楷体" w:eastAsia="楷体" w:cs="楷体"/>
                <w:spacing w:val="-9"/>
                <w:sz w:val="24"/>
                <w:szCs w:val="24"/>
                <w:lang w:eastAsia="zh-CN"/>
              </w:rPr>
              <w:t>和变化、大洋涡旋</w:t>
            </w:r>
          </w:p>
        </w:tc>
        <w:tc>
          <w:tcPr>
            <w:tcW w:w="2075" w:type="dxa"/>
            <w:shd w:val="clear" w:color="auto" w:fill="DEEAF6"/>
          </w:tcPr>
          <w:p w14:paraId="2CEFA3B2">
            <w:pPr>
              <w:spacing w:before="38" w:line="225" w:lineRule="auto"/>
              <w:ind w:left="111"/>
              <w:rPr>
                <w:rFonts w:ascii="楷体" w:hAnsi="楷体" w:eastAsia="楷体" w:cs="楷体"/>
                <w:sz w:val="24"/>
                <w:szCs w:val="24"/>
              </w:rPr>
            </w:pPr>
            <w:r>
              <w:rPr>
                <w:rFonts w:ascii="楷体" w:hAnsi="楷体" w:eastAsia="楷体" w:cs="楷体"/>
                <w:spacing w:val="-1"/>
                <w:sz w:val="24"/>
                <w:szCs w:val="24"/>
              </w:rPr>
              <w:t>被动遥感</w:t>
            </w:r>
          </w:p>
        </w:tc>
        <w:tc>
          <w:tcPr>
            <w:tcW w:w="2078" w:type="dxa"/>
            <w:shd w:val="clear" w:color="auto" w:fill="DEEAF6"/>
          </w:tcPr>
          <w:p w14:paraId="0067AB60">
            <w:pPr>
              <w:spacing w:before="39" w:line="217" w:lineRule="auto"/>
              <w:ind w:left="127"/>
              <w:rPr>
                <w:rFonts w:ascii="楷体" w:hAnsi="楷体" w:eastAsia="楷体" w:cs="楷体"/>
                <w:sz w:val="24"/>
                <w:szCs w:val="24"/>
              </w:rPr>
            </w:pPr>
            <w:r>
              <w:rPr>
                <w:rFonts w:ascii="楷体" w:hAnsi="楷体" w:eastAsia="楷体" w:cs="楷体"/>
                <w:spacing w:val="-5"/>
                <w:sz w:val="24"/>
                <w:szCs w:val="24"/>
              </w:rPr>
              <w:t>热红外</w:t>
            </w:r>
          </w:p>
        </w:tc>
      </w:tr>
      <w:tr w14:paraId="5F90DB65">
        <w:tblPrEx>
          <w:tblBorders>
            <w:top w:val="single" w:color="9CC2E5" w:sz="2" w:space="0"/>
            <w:left w:val="single" w:color="9CC2E5" w:sz="2" w:space="0"/>
            <w:bottom w:val="single" w:color="9CC2E5" w:sz="2" w:space="0"/>
            <w:right w:val="single" w:color="9CC2E5" w:sz="2" w:space="0"/>
            <w:insideH w:val="single" w:color="9CC2E5" w:sz="2" w:space="0"/>
            <w:insideV w:val="single" w:color="9CC2E5" w:sz="2" w:space="0"/>
          </w:tblBorders>
          <w:tblCellMar>
            <w:top w:w="0" w:type="dxa"/>
            <w:left w:w="0" w:type="dxa"/>
            <w:bottom w:w="0" w:type="dxa"/>
            <w:right w:w="0" w:type="dxa"/>
          </w:tblCellMar>
        </w:tblPrEx>
        <w:trPr>
          <w:trHeight w:val="628" w:hRule="atLeast"/>
        </w:trPr>
        <w:tc>
          <w:tcPr>
            <w:tcW w:w="2077" w:type="dxa"/>
          </w:tcPr>
          <w:p w14:paraId="67DF7A9E">
            <w:pPr>
              <w:spacing w:before="39" w:line="222" w:lineRule="auto"/>
              <w:ind w:left="111"/>
              <w:rPr>
                <w:rFonts w:ascii="楷体" w:hAnsi="楷体" w:eastAsia="楷体" w:cs="楷体"/>
                <w:sz w:val="24"/>
                <w:szCs w:val="24"/>
              </w:rPr>
            </w:pPr>
            <w:r>
              <w:rPr>
                <w:rFonts w:ascii="楷体" w:hAnsi="楷体" w:eastAsia="楷体" w:cs="楷体"/>
                <w:b/>
                <w:bCs/>
                <w:spacing w:val="-3"/>
                <w:sz w:val="24"/>
                <w:szCs w:val="24"/>
              </w:rPr>
              <w:t>微波辐射计</w:t>
            </w:r>
          </w:p>
        </w:tc>
        <w:tc>
          <w:tcPr>
            <w:tcW w:w="2072" w:type="dxa"/>
          </w:tcPr>
          <w:p w14:paraId="036FF471">
            <w:pPr>
              <w:spacing w:before="40" w:line="222" w:lineRule="auto"/>
              <w:ind w:left="117" w:right="104" w:firstLine="9"/>
              <w:rPr>
                <w:rFonts w:ascii="楷体" w:hAnsi="楷体" w:eastAsia="楷体" w:cs="楷体"/>
                <w:sz w:val="24"/>
                <w:szCs w:val="24"/>
                <w:lang w:eastAsia="zh-CN"/>
              </w:rPr>
            </w:pPr>
            <w:r>
              <w:rPr>
                <w:rFonts w:ascii="楷体" w:hAnsi="楷体" w:eastAsia="楷体" w:cs="楷体"/>
                <w:spacing w:val="-11"/>
                <w:sz w:val="24"/>
                <w:szCs w:val="24"/>
                <w:lang w:eastAsia="zh-CN"/>
              </w:rPr>
              <w:t>海面温度、海面风</w:t>
            </w:r>
            <w:r>
              <w:rPr>
                <w:rFonts w:ascii="楷体" w:hAnsi="楷体" w:eastAsia="楷体" w:cs="楷体"/>
                <w:spacing w:val="2"/>
                <w:sz w:val="24"/>
                <w:szCs w:val="24"/>
                <w:lang w:eastAsia="zh-CN"/>
              </w:rPr>
              <w:t xml:space="preserve"> </w:t>
            </w:r>
            <w:r>
              <w:rPr>
                <w:rFonts w:ascii="楷体" w:hAnsi="楷体" w:eastAsia="楷体" w:cs="楷体"/>
                <w:spacing w:val="-3"/>
                <w:sz w:val="24"/>
                <w:szCs w:val="24"/>
                <w:lang w:eastAsia="zh-CN"/>
              </w:rPr>
              <w:t>速的反演</w:t>
            </w:r>
          </w:p>
        </w:tc>
        <w:tc>
          <w:tcPr>
            <w:tcW w:w="2075" w:type="dxa"/>
          </w:tcPr>
          <w:p w14:paraId="79013BE2">
            <w:pPr>
              <w:spacing w:before="39" w:line="225" w:lineRule="auto"/>
              <w:ind w:left="111"/>
              <w:rPr>
                <w:rFonts w:ascii="楷体" w:hAnsi="楷体" w:eastAsia="楷体" w:cs="楷体"/>
                <w:sz w:val="24"/>
                <w:szCs w:val="24"/>
              </w:rPr>
            </w:pPr>
            <w:r>
              <w:rPr>
                <w:rFonts w:ascii="楷体" w:hAnsi="楷体" w:eastAsia="楷体" w:cs="楷体"/>
                <w:spacing w:val="-1"/>
                <w:sz w:val="24"/>
                <w:szCs w:val="24"/>
              </w:rPr>
              <w:t>被动遥感</w:t>
            </w:r>
          </w:p>
        </w:tc>
        <w:tc>
          <w:tcPr>
            <w:tcW w:w="2078" w:type="dxa"/>
          </w:tcPr>
          <w:p w14:paraId="3F634D14">
            <w:pPr>
              <w:spacing w:before="40" w:line="227" w:lineRule="auto"/>
              <w:ind w:left="111"/>
              <w:rPr>
                <w:rFonts w:ascii="楷体" w:hAnsi="楷体" w:eastAsia="楷体" w:cs="楷体"/>
                <w:sz w:val="24"/>
                <w:szCs w:val="24"/>
              </w:rPr>
            </w:pPr>
            <w:r>
              <w:rPr>
                <w:rFonts w:ascii="楷体" w:hAnsi="楷体" w:eastAsia="楷体" w:cs="楷体"/>
                <w:spacing w:val="-1"/>
                <w:sz w:val="24"/>
                <w:szCs w:val="24"/>
              </w:rPr>
              <w:t>微波</w:t>
            </w:r>
          </w:p>
        </w:tc>
      </w:tr>
      <w:tr w14:paraId="6B9CB466">
        <w:tblPrEx>
          <w:tblBorders>
            <w:top w:val="single" w:color="9CC2E5" w:sz="2" w:space="0"/>
            <w:left w:val="single" w:color="9CC2E5" w:sz="2" w:space="0"/>
            <w:bottom w:val="single" w:color="9CC2E5" w:sz="2" w:space="0"/>
            <w:right w:val="single" w:color="9CC2E5" w:sz="2" w:space="0"/>
            <w:insideH w:val="single" w:color="9CC2E5" w:sz="2" w:space="0"/>
            <w:insideV w:val="single" w:color="9CC2E5" w:sz="2" w:space="0"/>
          </w:tblBorders>
          <w:tblCellMar>
            <w:top w:w="0" w:type="dxa"/>
            <w:left w:w="0" w:type="dxa"/>
            <w:bottom w:w="0" w:type="dxa"/>
            <w:right w:w="0" w:type="dxa"/>
          </w:tblCellMar>
        </w:tblPrEx>
        <w:trPr>
          <w:trHeight w:val="628" w:hRule="atLeast"/>
        </w:trPr>
        <w:tc>
          <w:tcPr>
            <w:tcW w:w="2077" w:type="dxa"/>
            <w:shd w:val="clear" w:color="auto" w:fill="DEEAF6"/>
          </w:tcPr>
          <w:p w14:paraId="533D9771">
            <w:pPr>
              <w:spacing w:before="39" w:line="219" w:lineRule="auto"/>
              <w:ind w:left="112"/>
              <w:rPr>
                <w:rFonts w:ascii="楷体" w:hAnsi="楷体" w:eastAsia="楷体" w:cs="楷体"/>
                <w:sz w:val="24"/>
                <w:szCs w:val="24"/>
              </w:rPr>
            </w:pPr>
            <w:r>
              <w:rPr>
                <w:rFonts w:ascii="楷体" w:hAnsi="楷体" w:eastAsia="楷体" w:cs="楷体"/>
                <w:b/>
                <w:bCs/>
                <w:spacing w:val="-3"/>
                <w:sz w:val="24"/>
                <w:szCs w:val="24"/>
              </w:rPr>
              <w:t>合成孔径雷达</w:t>
            </w:r>
          </w:p>
        </w:tc>
        <w:tc>
          <w:tcPr>
            <w:tcW w:w="2072" w:type="dxa"/>
            <w:shd w:val="clear" w:color="auto" w:fill="DEEAF6"/>
          </w:tcPr>
          <w:p w14:paraId="7CE7BD83">
            <w:pPr>
              <w:spacing w:before="40" w:line="222" w:lineRule="auto"/>
              <w:ind w:left="110" w:right="104" w:firstLine="16"/>
              <w:rPr>
                <w:rFonts w:ascii="楷体" w:hAnsi="楷体" w:eastAsia="楷体" w:cs="楷体"/>
                <w:sz w:val="24"/>
                <w:szCs w:val="24"/>
                <w:lang w:eastAsia="zh-CN"/>
              </w:rPr>
            </w:pPr>
            <w:r>
              <w:rPr>
                <w:rFonts w:ascii="楷体" w:hAnsi="楷体" w:eastAsia="楷体" w:cs="楷体"/>
                <w:spacing w:val="-11"/>
                <w:sz w:val="24"/>
                <w:szCs w:val="24"/>
                <w:lang w:eastAsia="zh-CN"/>
              </w:rPr>
              <w:t>海浪方向谱、海面</w:t>
            </w:r>
            <w:r>
              <w:rPr>
                <w:rFonts w:ascii="楷体" w:hAnsi="楷体" w:eastAsia="楷体" w:cs="楷体"/>
                <w:spacing w:val="2"/>
                <w:sz w:val="24"/>
                <w:szCs w:val="24"/>
                <w:lang w:eastAsia="zh-CN"/>
              </w:rPr>
              <w:t xml:space="preserve"> </w:t>
            </w:r>
            <w:r>
              <w:rPr>
                <w:rFonts w:ascii="楷体" w:hAnsi="楷体" w:eastAsia="楷体" w:cs="楷体"/>
                <w:spacing w:val="-2"/>
                <w:sz w:val="24"/>
                <w:szCs w:val="24"/>
                <w:lang w:eastAsia="zh-CN"/>
              </w:rPr>
              <w:t>风场</w:t>
            </w:r>
          </w:p>
        </w:tc>
        <w:tc>
          <w:tcPr>
            <w:tcW w:w="2075" w:type="dxa"/>
            <w:shd w:val="clear" w:color="auto" w:fill="DEEAF6"/>
          </w:tcPr>
          <w:p w14:paraId="615E4745">
            <w:pPr>
              <w:spacing w:before="40" w:line="226" w:lineRule="auto"/>
              <w:ind w:left="120"/>
              <w:rPr>
                <w:rFonts w:ascii="楷体" w:hAnsi="楷体" w:eastAsia="楷体" w:cs="楷体"/>
                <w:sz w:val="24"/>
                <w:szCs w:val="24"/>
              </w:rPr>
            </w:pPr>
            <w:r>
              <w:rPr>
                <w:rFonts w:ascii="楷体" w:hAnsi="楷体" w:eastAsia="楷体" w:cs="楷体"/>
                <w:spacing w:val="-3"/>
                <w:sz w:val="24"/>
                <w:szCs w:val="24"/>
              </w:rPr>
              <w:t>主动遥感</w:t>
            </w:r>
          </w:p>
        </w:tc>
        <w:tc>
          <w:tcPr>
            <w:tcW w:w="2078" w:type="dxa"/>
            <w:shd w:val="clear" w:color="auto" w:fill="DEEAF6"/>
          </w:tcPr>
          <w:p w14:paraId="78E1057E">
            <w:pPr>
              <w:spacing w:before="40" w:line="227" w:lineRule="auto"/>
              <w:ind w:left="111"/>
              <w:rPr>
                <w:rFonts w:ascii="楷体" w:hAnsi="楷体" w:eastAsia="楷体" w:cs="楷体"/>
                <w:sz w:val="24"/>
                <w:szCs w:val="24"/>
              </w:rPr>
            </w:pPr>
            <w:r>
              <w:rPr>
                <w:rFonts w:ascii="楷体" w:hAnsi="楷体" w:eastAsia="楷体" w:cs="楷体"/>
                <w:spacing w:val="-1"/>
                <w:sz w:val="24"/>
                <w:szCs w:val="24"/>
              </w:rPr>
              <w:t>微波</w:t>
            </w:r>
          </w:p>
        </w:tc>
      </w:tr>
      <w:tr w14:paraId="0F349E82">
        <w:tblPrEx>
          <w:tblBorders>
            <w:top w:val="single" w:color="9CC2E5" w:sz="2" w:space="0"/>
            <w:left w:val="single" w:color="9CC2E5" w:sz="2" w:space="0"/>
            <w:bottom w:val="single" w:color="9CC2E5" w:sz="2" w:space="0"/>
            <w:right w:val="single" w:color="9CC2E5" w:sz="2" w:space="0"/>
            <w:insideH w:val="single" w:color="9CC2E5" w:sz="2" w:space="0"/>
            <w:insideV w:val="single" w:color="9CC2E5" w:sz="2" w:space="0"/>
          </w:tblBorders>
          <w:tblCellMar>
            <w:top w:w="0" w:type="dxa"/>
            <w:left w:w="0" w:type="dxa"/>
            <w:bottom w:w="0" w:type="dxa"/>
            <w:right w:w="0" w:type="dxa"/>
          </w:tblCellMar>
        </w:tblPrEx>
        <w:trPr>
          <w:trHeight w:val="635" w:hRule="atLeast"/>
        </w:trPr>
        <w:tc>
          <w:tcPr>
            <w:tcW w:w="2077" w:type="dxa"/>
          </w:tcPr>
          <w:p w14:paraId="75C1902F">
            <w:pPr>
              <w:spacing w:before="43" w:line="222" w:lineRule="auto"/>
              <w:ind w:left="112"/>
              <w:rPr>
                <w:rFonts w:ascii="楷体" w:hAnsi="楷体" w:eastAsia="楷体" w:cs="楷体"/>
                <w:sz w:val="24"/>
                <w:szCs w:val="24"/>
              </w:rPr>
            </w:pPr>
            <w:r>
              <w:rPr>
                <w:rFonts w:ascii="楷体" w:hAnsi="楷体" w:eastAsia="楷体" w:cs="楷体"/>
                <w:b/>
                <w:bCs/>
                <w:spacing w:val="-4"/>
                <w:sz w:val="24"/>
                <w:szCs w:val="24"/>
              </w:rPr>
              <w:t>散射计</w:t>
            </w:r>
          </w:p>
        </w:tc>
        <w:tc>
          <w:tcPr>
            <w:tcW w:w="2072" w:type="dxa"/>
          </w:tcPr>
          <w:p w14:paraId="1DC540E7">
            <w:pPr>
              <w:spacing w:before="42" w:line="224" w:lineRule="auto"/>
              <w:ind w:left="111" w:right="98" w:hanging="1"/>
              <w:rPr>
                <w:rFonts w:ascii="楷体" w:hAnsi="楷体" w:eastAsia="楷体" w:cs="楷体"/>
                <w:sz w:val="24"/>
                <w:szCs w:val="24"/>
              </w:rPr>
            </w:pPr>
            <w:r>
              <w:rPr>
                <w:rFonts w:ascii="楷体" w:hAnsi="楷体" w:eastAsia="楷体" w:cs="楷体"/>
                <w:spacing w:val="-8"/>
                <w:sz w:val="24"/>
                <w:szCs w:val="24"/>
              </w:rPr>
              <w:t>风速和风向、风浪</w:t>
            </w:r>
            <w:r>
              <w:rPr>
                <w:rFonts w:ascii="楷体" w:hAnsi="楷体" w:eastAsia="楷体" w:cs="楷体"/>
                <w:sz w:val="24"/>
                <w:szCs w:val="24"/>
              </w:rPr>
              <w:t xml:space="preserve"> 谱</w:t>
            </w:r>
          </w:p>
        </w:tc>
        <w:tc>
          <w:tcPr>
            <w:tcW w:w="2075" w:type="dxa"/>
          </w:tcPr>
          <w:p w14:paraId="3357B210">
            <w:pPr>
              <w:spacing w:before="43" w:line="226" w:lineRule="auto"/>
              <w:ind w:left="120"/>
              <w:rPr>
                <w:rFonts w:ascii="楷体" w:hAnsi="楷体" w:eastAsia="楷体" w:cs="楷体"/>
                <w:sz w:val="24"/>
                <w:szCs w:val="24"/>
              </w:rPr>
            </w:pPr>
            <w:r>
              <w:rPr>
                <w:rFonts w:ascii="楷体" w:hAnsi="楷体" w:eastAsia="楷体" w:cs="楷体"/>
                <w:spacing w:val="-3"/>
                <w:sz w:val="24"/>
                <w:szCs w:val="24"/>
              </w:rPr>
              <w:t>主动遥感</w:t>
            </w:r>
          </w:p>
        </w:tc>
        <w:tc>
          <w:tcPr>
            <w:tcW w:w="2078" w:type="dxa"/>
          </w:tcPr>
          <w:p w14:paraId="4656E8FA">
            <w:pPr>
              <w:spacing w:before="44" w:line="227" w:lineRule="auto"/>
              <w:ind w:left="111"/>
              <w:rPr>
                <w:rFonts w:ascii="楷体" w:hAnsi="楷体" w:eastAsia="楷体" w:cs="楷体"/>
                <w:sz w:val="24"/>
                <w:szCs w:val="24"/>
              </w:rPr>
            </w:pPr>
            <w:r>
              <w:rPr>
                <w:rFonts w:ascii="楷体" w:hAnsi="楷体" w:eastAsia="楷体" w:cs="楷体"/>
                <w:spacing w:val="-1"/>
                <w:sz w:val="24"/>
                <w:szCs w:val="24"/>
              </w:rPr>
              <w:t>微波</w:t>
            </w:r>
          </w:p>
        </w:tc>
      </w:tr>
    </w:tbl>
    <w:p w14:paraId="18344318">
      <w:pPr>
        <w:widowControl/>
        <w:spacing w:line="276" w:lineRule="auto"/>
        <w:rPr>
          <w:rFonts w:asciiTheme="minorEastAsia" w:hAnsiTheme="minorEastAsia" w:eastAsiaTheme="minorEastAsia"/>
          <w:color w:val="000000"/>
          <w:kern w:val="0"/>
          <w:sz w:val="24"/>
        </w:rPr>
      </w:pPr>
    </w:p>
    <w:p w14:paraId="100E0B77">
      <w:pPr>
        <w:pStyle w:val="2"/>
        <w:numPr>
          <w:ilvl w:val="0"/>
          <w:numId w:val="0"/>
        </w:numPr>
        <w:bidi w:val="0"/>
        <w:spacing w:before="0" w:after="0" w:line="360" w:lineRule="auto"/>
        <w:rPr>
          <w:rFonts w:hint="eastAsia" w:cstheme="minorBidi"/>
          <w:color w:val="000000" w:themeColor="text1"/>
          <w14:textFill>
            <w14:solidFill>
              <w14:schemeClr w14:val="tx1"/>
            </w14:solidFill>
          </w14:textFill>
        </w:rPr>
      </w:pPr>
      <w:r>
        <w:rPr>
          <w:rFonts w:hint="eastAsia" w:cstheme="minorBidi"/>
          <w:color w:val="000000" w:themeColor="text1"/>
          <w14:textFill>
            <w14:solidFill>
              <w14:schemeClr w14:val="tx1"/>
            </w14:solidFill>
          </w14:textFill>
        </w:rPr>
        <w:t>7.什么是卫星的重复周期？ERS-1/2和TOPEX/POSEIDON的重复周期分别是多少？高度计测量的误差来源主要有哪些？</w:t>
      </w:r>
    </w:p>
    <w:p w14:paraId="05DA8576">
      <w:pPr>
        <w:bidi w:val="0"/>
        <w:spacing w:line="360" w:lineRule="auto"/>
        <w:ind w:firstLine="422" w:firstLineChars="200"/>
        <w:rPr>
          <w:rFonts w:hint="default" w:cstheme="minorBidi"/>
          <w:b w:val="0"/>
          <w:bCs w:val="0"/>
          <w:color w:val="000000" w:themeColor="text1"/>
          <w:lang w:val="en-US" w:eastAsia="zh-CN"/>
          <w14:textFill>
            <w14:solidFill>
              <w14:schemeClr w14:val="tx1"/>
            </w14:solidFill>
          </w14:textFill>
        </w:rPr>
      </w:pPr>
      <w:r>
        <w:rPr>
          <w:rFonts w:hint="eastAsia" w:cstheme="minorBidi"/>
          <w:b/>
          <w:bCs/>
          <w:color w:val="000000" w:themeColor="text1"/>
          <w:lang w:val="en-US" w:eastAsia="zh-CN"/>
          <w14:textFill>
            <w14:solidFill>
              <w14:schemeClr w14:val="tx1"/>
            </w14:solidFill>
          </w14:textFill>
        </w:rPr>
        <w:t>卫星重复周期</w:t>
      </w:r>
      <w:r>
        <w:rPr>
          <w:rFonts w:hint="eastAsia" w:cstheme="minorBidi"/>
          <w:b w:val="0"/>
          <w:bCs w:val="0"/>
          <w:color w:val="000000" w:themeColor="text1"/>
          <w:lang w:val="en-US" w:eastAsia="zh-CN"/>
          <w14:textFill>
            <w14:solidFill>
              <w14:schemeClr w14:val="tx1"/>
            </w14:solidFill>
          </w14:textFill>
        </w:rPr>
        <w:t>，指卫星飞过地面同一位置所需时间</w:t>
      </w:r>
      <w:r>
        <w:rPr>
          <w:rFonts w:hint="default" w:cstheme="minorBidi"/>
          <w:b w:val="0"/>
          <w:bCs w:val="0"/>
          <w:color w:val="000000" w:themeColor="text1"/>
          <w:lang w:val="en-US" w:eastAsia="zh-CN"/>
          <w14:textFill>
            <w14:solidFill>
              <w14:schemeClr w14:val="tx1"/>
            </w14:solidFill>
          </w14:textFill>
        </w:rPr>
        <w:t>，一般以天为单位度量。</w:t>
      </w:r>
    </w:p>
    <w:p w14:paraId="583C85E3">
      <w:pPr>
        <w:bidi w:val="0"/>
        <w:spacing w:line="360" w:lineRule="auto"/>
        <w:ind w:firstLine="420" w:firstLineChars="200"/>
        <w:rPr>
          <w:rFonts w:hint="default"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ERS-1/2</w:t>
      </w:r>
      <w:r>
        <w:rPr>
          <w:rFonts w:hint="default" w:cstheme="minorBidi"/>
          <w:b w:val="0"/>
          <w:bCs w:val="0"/>
          <w:color w:val="000000" w:themeColor="text1"/>
          <w:lang w:val="en-US" w:eastAsia="zh-CN"/>
          <w14:textFill>
            <w14:solidFill>
              <w14:schemeClr w14:val="tx1"/>
            </w14:solidFill>
          </w14:textFill>
        </w:rPr>
        <w:t>卫星的</w:t>
      </w:r>
      <w:r>
        <w:rPr>
          <w:rFonts w:hint="eastAsia" w:cstheme="minorBidi"/>
          <w:b w:val="0"/>
          <w:bCs w:val="0"/>
          <w:color w:val="000000" w:themeColor="text1"/>
          <w:lang w:val="en-US" w:eastAsia="zh-CN"/>
          <w14:textFill>
            <w14:solidFill>
              <w14:schemeClr w14:val="tx1"/>
            </w14:solidFill>
          </w14:textFill>
        </w:rPr>
        <w:t>重复周期</w:t>
      </w:r>
      <w:r>
        <w:rPr>
          <w:rFonts w:hint="default" w:cstheme="minorBidi"/>
          <w:b w:val="0"/>
          <w:bCs w:val="0"/>
          <w:color w:val="000000" w:themeColor="text1"/>
          <w:lang w:val="en-US" w:eastAsia="zh-CN"/>
          <w14:textFill>
            <w14:solidFill>
              <w14:schemeClr w14:val="tx1"/>
            </w14:solidFill>
          </w14:textFill>
        </w:rPr>
        <w:t>为35天，TOPEX/POSEIDON 卫星的</w:t>
      </w:r>
      <w:r>
        <w:rPr>
          <w:rFonts w:hint="eastAsia" w:cstheme="minorBidi"/>
          <w:b w:val="0"/>
          <w:bCs w:val="0"/>
          <w:color w:val="000000" w:themeColor="text1"/>
          <w:lang w:val="en-US" w:eastAsia="zh-CN"/>
          <w14:textFill>
            <w14:solidFill>
              <w14:schemeClr w14:val="tx1"/>
            </w14:solidFill>
          </w14:textFill>
        </w:rPr>
        <w:t>重复周期</w:t>
      </w:r>
      <w:r>
        <w:rPr>
          <w:rFonts w:hint="default" w:cstheme="minorBidi"/>
          <w:b w:val="0"/>
          <w:bCs w:val="0"/>
          <w:color w:val="000000" w:themeColor="text1"/>
          <w:lang w:val="en-US" w:eastAsia="zh-CN"/>
          <w14:textFill>
            <w14:solidFill>
              <w14:schemeClr w14:val="tx1"/>
            </w14:solidFill>
          </w14:textFill>
        </w:rPr>
        <w:t>为10 天</w:t>
      </w:r>
    </w:p>
    <w:p w14:paraId="5E8BBB70">
      <w:pPr>
        <w:bidi w:val="0"/>
        <w:spacing w:line="360" w:lineRule="auto"/>
        <w:ind w:firstLine="420" w:firstLineChars="200"/>
        <w:rPr>
          <w:rFonts w:hint="default" w:cstheme="minorBidi"/>
          <w:b w:val="0"/>
          <w:bCs w:val="0"/>
          <w:color w:val="000000" w:themeColor="text1"/>
          <w:lang w:val="en-US" w:eastAsia="zh-CN"/>
          <w14:textFill>
            <w14:solidFill>
              <w14:schemeClr w14:val="tx1"/>
            </w14:solidFill>
          </w14:textFill>
        </w:rPr>
      </w:pPr>
    </w:p>
    <w:p w14:paraId="222709B2">
      <w:pPr>
        <w:spacing w:before="29" w:line="234" w:lineRule="auto"/>
        <w:ind w:left="17" w:right="13" w:firstLine="468" w:firstLineChars="200"/>
        <w:rPr>
          <w:rFonts w:ascii="楷体" w:hAnsi="楷体" w:eastAsia="楷体" w:cs="楷体"/>
          <w:spacing w:val="-2"/>
          <w:sz w:val="24"/>
          <w:szCs w:val="24"/>
          <w:lang w:eastAsia="zh-CN"/>
        </w:rPr>
      </w:pPr>
      <w:r>
        <w:rPr>
          <w:rFonts w:hint="eastAsia" w:ascii="楷体" w:hAnsi="楷体" w:eastAsia="楷体" w:cs="楷体"/>
          <w:color w:val="FF0000"/>
          <w:spacing w:val="-3"/>
          <w:sz w:val="24"/>
          <w:szCs w:val="24"/>
          <w:lang w:eastAsia="zh-CN"/>
        </w:rPr>
        <w:t>误差来源：</w:t>
      </w:r>
      <w:r>
        <w:rPr>
          <w:rFonts w:ascii="楷体" w:hAnsi="楷体" w:eastAsia="楷体" w:cs="楷体"/>
          <w:spacing w:val="-3"/>
          <w:sz w:val="24"/>
          <w:szCs w:val="24"/>
          <w:lang w:eastAsia="zh-CN"/>
        </w:rPr>
        <w:t>轨道误差，坐标系误差，电离层内自由电子能够减缓电磁波传播速度从而引起误差，对流层内，大气折射率对电磁波传播速度带来的影响也能带来误差，称为地</w:t>
      </w:r>
      <w:r>
        <w:rPr>
          <w:rFonts w:ascii="楷体" w:hAnsi="楷体" w:eastAsia="楷体" w:cs="楷体"/>
          <w:spacing w:val="-5"/>
          <w:sz w:val="24"/>
          <w:szCs w:val="24"/>
          <w:lang w:eastAsia="zh-CN"/>
        </w:rPr>
        <w:t>表大气条件产生的电磁偏差。海浪造成的粗糙表面也带来误差，</w:t>
      </w:r>
      <w:r>
        <w:rPr>
          <w:rFonts w:ascii="楷体" w:hAnsi="楷体" w:eastAsia="楷体" w:cs="楷体"/>
          <w:spacing w:val="-46"/>
          <w:sz w:val="24"/>
          <w:szCs w:val="24"/>
          <w:lang w:eastAsia="zh-CN"/>
        </w:rPr>
        <w:t xml:space="preserve"> </w:t>
      </w:r>
      <w:r>
        <w:rPr>
          <w:rFonts w:ascii="楷体" w:hAnsi="楷体" w:eastAsia="楷体" w:cs="楷体"/>
          <w:spacing w:val="-5"/>
          <w:sz w:val="24"/>
          <w:szCs w:val="24"/>
          <w:lang w:eastAsia="zh-CN"/>
        </w:rPr>
        <w:t>人们使用激光测</w:t>
      </w:r>
      <w:r>
        <w:rPr>
          <w:rFonts w:ascii="楷体" w:hAnsi="楷体" w:eastAsia="楷体" w:cs="楷体"/>
          <w:spacing w:val="-1"/>
          <w:sz w:val="24"/>
          <w:szCs w:val="24"/>
          <w:lang w:eastAsia="zh-CN"/>
        </w:rPr>
        <w:t>距仪跟踪卫星存在偏差。极潮汐和逆气压等其它因素</w:t>
      </w:r>
      <w:r>
        <w:rPr>
          <w:rFonts w:ascii="楷体" w:hAnsi="楷体" w:eastAsia="楷体" w:cs="楷体"/>
          <w:spacing w:val="-2"/>
          <w:sz w:val="24"/>
          <w:szCs w:val="24"/>
          <w:lang w:eastAsia="zh-CN"/>
        </w:rPr>
        <w:t>也产生偏差。</w:t>
      </w:r>
    </w:p>
    <w:p w14:paraId="09C51F02">
      <w:pPr>
        <w:spacing w:before="29" w:line="234" w:lineRule="auto"/>
        <w:ind w:left="17" w:right="13" w:firstLine="472" w:firstLineChars="200"/>
        <w:rPr>
          <w:rFonts w:hint="eastAsia" w:ascii="楷体" w:hAnsi="楷体" w:eastAsia="楷体" w:cs="楷体"/>
          <w:spacing w:val="-2"/>
          <w:sz w:val="24"/>
          <w:szCs w:val="24"/>
          <w:lang w:val="en-US" w:eastAsia="zh-CN"/>
        </w:rPr>
      </w:pPr>
    </w:p>
    <w:p w14:paraId="4C3BBB04">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 xml:space="preserve">高度计观测误差主要包括： </w:t>
      </w:r>
    </w:p>
    <w:p w14:paraId="7ECA6DF9">
      <w:pPr>
        <w:numPr>
          <w:ilvl w:val="0"/>
          <w:numId w:val="4"/>
        </w:num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 xml:space="preserve">传播媒介误差： • 大气延迟误差：电离层，对流层。 • 水汽延迟：水汽含量增加导致传播速度减慢。 </w:t>
      </w:r>
    </w:p>
    <w:p w14:paraId="5396C472">
      <w:pPr>
        <w:numPr>
          <w:ilvl w:val="0"/>
          <w:numId w:val="4"/>
        </w:num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 xml:space="preserve">海况误差： • 海浪影响信号回波的偏移。 </w:t>
      </w:r>
    </w:p>
    <w:p w14:paraId="4EF8ECC7">
      <w:pPr>
        <w:numPr>
          <w:ilvl w:val="0"/>
          <w:numId w:val="4"/>
        </w:num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 xml:space="preserve">仪器误差： • 热噪声、电磁噪声等影响测量精度。 • 仪器：跟踪偏差，波形采样增益定标偏差，天线方向图，自动增益控制衰减，多普勒频移，距离加速度，振荡器频率漂移，指向 角/海况，仪器噪声。 </w:t>
      </w:r>
    </w:p>
    <w:p w14:paraId="24DCE08E">
      <w:pPr>
        <w:numPr>
          <w:ilvl w:val="0"/>
          <w:numId w:val="4"/>
        </w:num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混叠误差 (Aliasing)： • 高频信号被低频采样干扰。 • 遵循 Nyquist 定律，采样间隔应小于信号周期的一半。</w:t>
      </w:r>
    </w:p>
    <w:p w14:paraId="0D08296A">
      <w:pPr>
        <w:spacing w:line="276" w:lineRule="auto"/>
        <w:rPr>
          <w:rFonts w:hint="default" w:ascii="宋体" w:hAnsi="宋体" w:eastAsia="宋体" w:cs="宋体"/>
          <w:sz w:val="24"/>
          <w:szCs w:val="24"/>
        </w:rPr>
      </w:pPr>
    </w:p>
    <w:p w14:paraId="2B3EC04F">
      <w:pPr>
        <w:pStyle w:val="2"/>
        <w:numPr>
          <w:ilvl w:val="0"/>
          <w:numId w:val="0"/>
        </w:numPr>
        <w:bidi w:val="0"/>
        <w:spacing w:before="0" w:after="0" w:line="360" w:lineRule="auto"/>
        <w:rPr>
          <w:rFonts w:hint="eastAsia" w:cstheme="minorBidi"/>
          <w:color w:val="000000" w:themeColor="text1"/>
          <w14:textFill>
            <w14:solidFill>
              <w14:schemeClr w14:val="tx1"/>
            </w14:solidFill>
          </w14:textFill>
        </w:rPr>
      </w:pPr>
      <w:r>
        <w:rPr>
          <w:rFonts w:hint="eastAsia" w:cstheme="minorBidi"/>
          <w:color w:val="000000" w:themeColor="text1"/>
          <w14:textFill>
            <w14:solidFill>
              <w14:schemeClr w14:val="tx1"/>
            </w14:solidFill>
          </w14:textFill>
        </w:rPr>
        <w:t>8.多普勒效应推导、在合成孔径雷达观测中的应用</w:t>
      </w:r>
    </w:p>
    <w:p w14:paraId="1F2C94F8">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假设原有波源的波长为λ，波速为u，观察者移动速度为，波源的移动速度</w:t>
      </w:r>
    </w:p>
    <w:p w14:paraId="2E006353">
      <w:pPr>
        <w:spacing w:after="240"/>
      </w:pPr>
      <m:oMathPara>
        <m:oMath>
          <m:sSup>
            <m:sSupPr/>
            <m:e>
              <m:r>
                <m:rPr/>
                <m:t>f</m:t>
              </m:r>
            </m:e>
            <m:sup>
              <m:r>
                <m:rPr>
                  <m:sty m:val="p"/>
                </m:rPr>
                <m:t>′</m:t>
              </m:r>
            </m:sup>
          </m:sSup>
          <m:r>
            <m:rPr>
              <m:sty m:val="p"/>
            </m:rPr>
            <m:t>=</m:t>
          </m:r>
          <m:f>
            <m:fPr>
              <m:ctrlPr>
                <w:rPr>
                  <w:rFonts w:ascii="Cambria Math" w:hAnsi="Cambria Math"/>
                </w:rPr>
              </m:ctrlPr>
            </m:fPr>
            <m:num>
              <m:r>
                <m:rPr/>
                <m:t>u</m:t>
              </m:r>
              <m:r>
                <m:rPr>
                  <m:sty m:val="p"/>
                </m:rPr>
                <m:t>+</m:t>
              </m:r>
              <m:sSub>
                <m:sSubPr/>
                <m:e>
                  <m:r>
                    <m:rPr/>
                    <m:t>v</m:t>
                  </m:r>
                </m:e>
                <m:sub>
                  <m:r>
                    <m:rPr>
                      <m:sty m:val="p"/>
                    </m:rPr>
                    <m:t>0</m:t>
                  </m:r>
                </m:sub>
              </m:sSub>
              <m:ctrlPr>
                <w:rPr>
                  <w:rFonts w:ascii="Cambria Math" w:hAnsi="Cambria Math"/>
                </w:rPr>
              </m:ctrlPr>
            </m:num>
            <m:den>
              <m:r>
                <m:rPr/>
                <m:t>u</m:t>
              </m:r>
              <m:r>
                <m:rPr>
                  <m:sty m:val="p"/>
                </m:rPr>
                <m:t>−</m:t>
              </m:r>
              <m:sSub>
                <m:sSubPr/>
                <m:e>
                  <m:r>
                    <m:rPr/>
                    <m:t>v</m:t>
                  </m:r>
                </m:e>
                <m:sub>
                  <m:r>
                    <m:rPr>
                      <m:sty m:val="p"/>
                    </m:rPr>
                    <w:rPr>
                      <w:rFonts w:hint="default" w:ascii="Cambria Math" w:hAnsi="Cambria Math"/>
                      <w:lang w:val="en-US" w:eastAsia="zh-CN"/>
                    </w:rPr>
                    <m:t>s</m:t>
                  </m:r>
                </m:sub>
              </m:sSub>
              <m:ctrlPr>
                <w:rPr>
                  <w:rFonts w:ascii="Cambria Math" w:hAnsi="Cambria Math"/>
                </w:rPr>
              </m:ctrlPr>
            </m:den>
          </m:f>
          <m:r>
            <m:rPr/>
            <m:t>f</m:t>
          </m:r>
        </m:oMath>
      </m:oMathPara>
    </w:p>
    <w:p w14:paraId="64B271C3">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eastAsia="宋体"/>
          <w:lang w:val="en-US" w:eastAsia="zh-CN"/>
        </w:rPr>
      </w:pPr>
      <w:r>
        <w:t xml:space="preserve">其中， </w:t>
      </w:r>
      <m:oMath>
        <m:sSup>
          <m:sSupPr/>
          <m:e>
            <m:r>
              <m:rPr/>
              <m:t>f</m:t>
            </m:r>
          </m:e>
          <m:sup>
            <m:r>
              <m:rPr>
                <m:sty m:val="p"/>
              </m:rPr>
              <m:t>′</m:t>
            </m:r>
          </m:sup>
        </m:sSup>
      </m:oMath>
      <w:r>
        <w:t xml:space="preserve"> 为观察者角度观察到的频率， </w:t>
      </w:r>
      <m:oMath>
        <m:r>
          <m:rPr/>
          <m:t>f</m:t>
        </m:r>
      </m:oMath>
      <w:r>
        <w:t xml:space="preserve"> 为发射源于该介质中的原始发射频率， </w:t>
      </w:r>
      <m:oMath>
        <m:r>
          <m:rPr/>
          <m:t>u</m:t>
        </m:r>
      </m:oMath>
      <w:r>
        <w:t xml:space="preserve"> 为波在该介质中的行进速度,</w:t>
      </w:r>
      <m:oMath>
        <m:sSub>
          <m:sSubPr/>
          <m:e>
            <m:r>
              <m:rPr/>
              <m:t>v</m:t>
            </m:r>
          </m:e>
          <m:sub>
            <m:r>
              <m:rPr>
                <m:sty m:val="p"/>
              </m:rPr>
              <m:t>0</m:t>
            </m:r>
          </m:sub>
        </m:sSub>
      </m:oMath>
      <w:r>
        <w:t xml:space="preserve">为观察者相对于介质的移动速度, 接近发射源则前方运算符号为十号, 反之为-号; </w:t>
      </w:r>
      <m:oMath>
        <m:sSub>
          <m:sSubPr/>
          <m:e>
            <m:r>
              <m:rPr/>
              <m:t>v</m:t>
            </m:r>
          </m:e>
          <m:sub>
            <m:r>
              <m:rPr>
                <m:sty m:val="p"/>
              </m:rPr>
              <w:rPr>
                <w:rFonts w:hint="default" w:ascii="Cambria Math" w:hAnsi="Cambria Math"/>
                <w:lang w:val="en-US" w:eastAsia="zh-CN"/>
              </w:rPr>
              <m:t>s</m:t>
            </m:r>
          </m:sub>
        </m:sSub>
      </m:oMath>
      <w:r>
        <w:t>为发射源相对与介质的移动速度, 若接近观察者则前方运算符号为-号, 反之为 + 号</w:t>
      </w:r>
      <w:r>
        <w:rPr>
          <w:rFonts w:hint="eastAsia"/>
          <w:lang w:eastAsia="zh-CN"/>
        </w:rPr>
        <w:t>。</w:t>
      </w:r>
    </w:p>
    <w:p w14:paraId="3C4E82D3">
      <w:pPr>
        <w:spacing w:before="47" w:line="217" w:lineRule="auto"/>
        <w:ind w:left="19"/>
        <w:rPr>
          <w:rFonts w:ascii="楷体" w:hAnsi="楷体" w:eastAsia="楷体" w:cs="楷体"/>
          <w:sz w:val="24"/>
          <w:szCs w:val="24"/>
          <w:lang w:eastAsia="zh-CN"/>
        </w:rPr>
      </w:pPr>
      <w:r>
        <w:rPr>
          <w:rFonts w:ascii="楷体" w:hAnsi="楷体" w:eastAsia="楷体" w:cs="楷体"/>
          <w:spacing w:val="-1"/>
          <w:sz w:val="24"/>
          <w:szCs w:val="24"/>
          <w:lang w:eastAsia="zh-CN"/>
        </w:rPr>
        <w:t>应用：可获得合成孔径雷达的方位分辨率。</w:t>
      </w:r>
    </w:p>
    <w:p w14:paraId="2AFD9FB0">
      <w:pPr>
        <w:spacing w:before="89" w:line="3239" w:lineRule="exact"/>
        <w:ind w:firstLine="14"/>
      </w:pPr>
      <w:r>
        <w:rPr>
          <w:position w:val="-64"/>
        </w:rPr>
        <w:drawing>
          <wp:inline distT="0" distB="0" distL="0" distR="0">
            <wp:extent cx="5271770" cy="2056765"/>
            <wp:effectExtent l="0" t="0" r="1270" b="635"/>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4"/>
                    <a:stretch>
                      <a:fillRect/>
                    </a:stretch>
                  </pic:blipFill>
                  <pic:spPr>
                    <a:xfrm>
                      <a:off x="0" y="0"/>
                      <a:ext cx="5272404" cy="2056765"/>
                    </a:xfrm>
                    <a:prstGeom prst="rect">
                      <a:avLst/>
                    </a:prstGeom>
                  </pic:spPr>
                </pic:pic>
              </a:graphicData>
            </a:graphic>
          </wp:inline>
        </w:drawing>
      </w:r>
    </w:p>
    <w:p w14:paraId="2A5EA37F">
      <w:pPr>
        <w:spacing w:before="133" w:line="231" w:lineRule="auto"/>
        <w:ind w:left="39" w:right="12" w:firstLine="468" w:firstLineChars="200"/>
        <w:jc w:val="both"/>
      </w:pPr>
      <w:r>
        <w:rPr>
          <w:rFonts w:hint="eastAsia" w:ascii="楷体" w:hAnsi="楷体" w:eastAsia="楷体" w:cs="楷体"/>
          <w:color w:val="FF0000"/>
          <w:spacing w:val="-3"/>
          <w:sz w:val="24"/>
          <w:szCs w:val="24"/>
          <w:lang w:eastAsia="zh-CN"/>
        </w:rPr>
        <w:t>合成孔径雷达的应用：</w:t>
      </w:r>
      <w:r>
        <w:rPr>
          <w:rFonts w:ascii="楷体" w:hAnsi="楷体" w:eastAsia="楷体" w:cs="楷体"/>
          <w:spacing w:val="-3"/>
          <w:sz w:val="24"/>
          <w:szCs w:val="24"/>
          <w:lang w:eastAsia="zh-CN"/>
        </w:rPr>
        <w:t>合成孔径雷达依据多普勒效应，采取混频技术产生多普勒分辨率，然后利用低通滤波技术剔除随之产生的高频成分而只保</w:t>
      </w:r>
      <w:r>
        <w:rPr>
          <w:rFonts w:ascii="楷体" w:hAnsi="楷体" w:eastAsia="楷体" w:cs="楷体"/>
          <w:spacing w:val="-4"/>
          <w:sz w:val="24"/>
          <w:szCs w:val="24"/>
          <w:lang w:eastAsia="zh-CN"/>
        </w:rPr>
        <w:t>留多普勒频率成分。和真实孔径</w:t>
      </w:r>
      <w:r>
        <w:rPr>
          <w:rFonts w:ascii="楷体" w:hAnsi="楷体" w:eastAsia="楷体" w:cs="楷体"/>
          <w:spacing w:val="-1"/>
          <w:sz w:val="24"/>
          <w:szCs w:val="24"/>
          <w:lang w:eastAsia="zh-CN"/>
        </w:rPr>
        <w:t>雷达相比，携带了更高的空间分辨率和海面粗糙度信息。</w:t>
      </w:r>
    </w:p>
    <w:p w14:paraId="49EEB932">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合成孔径雷达（SAR）是一种主动式微波遥感技术，它通过发射微波信号并接收反射回来的信号来生成地表的高分辨率图像。多普勒效应在SAR中的应用主要体现在以下几个方面：</w:t>
      </w:r>
    </w:p>
    <w:p w14:paraId="711A21E5">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多普勒频移：由于SAR平台（飞机或卫星）与地面目标之间存在相对运动，接收到的回波信号会产生多普勒频移。这种频移可以用来测量目标相对于雷达的速度分量，这对于监测地表移动目标（如车辆、船只等）非常重要。</w:t>
      </w:r>
    </w:p>
    <w:p w14:paraId="56EA1C75">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合成孔径原理：SAR利用多普勒效应来合成一个大的虚拟天线孔径，从而提高雷达的方位分辨率。随着平台的移动，地面目标逐渐进入和离开雷达波束，产生的多普勒频率变化被用来合成一个等效的长天线，从而提高了成像的分辨率。</w:t>
      </w:r>
    </w:p>
    <w:p w14:paraId="1FCD44E6">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距离徙动校正：在SAR成像过程中，由于目标与雷达的相对运动，回波信号在距离-多普勒平面上会发生非线性徙动。通过对多普勒频移的分析，可以校正这种距离徙动，从而提高成像质量。</w:t>
      </w:r>
    </w:p>
    <w:p w14:paraId="34BCAA71">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方位压缩：多普勒效应还用于方位向的信号处理，通过对回波信号进行方位向的傅里叶变换，可以将时间域的信号转换为多普勒频域的信号，从而实现方位压缩，提高方位分辨率。</w:t>
      </w:r>
    </w:p>
    <w:p w14:paraId="2E8B56F9">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p>
    <w:p w14:paraId="569DAF65">
      <w:pPr>
        <w:pStyle w:val="2"/>
        <w:numPr>
          <w:ilvl w:val="0"/>
          <w:numId w:val="0"/>
        </w:numPr>
        <w:bidi w:val="0"/>
        <w:spacing w:before="0" w:after="0" w:line="360" w:lineRule="auto"/>
        <w:rPr>
          <w:rFonts w:hint="eastAsia" w:cstheme="minorBidi"/>
          <w:color w:val="000000" w:themeColor="text1"/>
          <w14:textFill>
            <w14:solidFill>
              <w14:schemeClr w14:val="tx1"/>
            </w14:solidFill>
          </w14:textFill>
        </w:rPr>
      </w:pPr>
      <w:r>
        <w:rPr>
          <w:rFonts w:hint="eastAsia" w:cstheme="minorBidi"/>
          <w:color w:val="000000" w:themeColor="text1"/>
          <w14:textFill>
            <w14:solidFill>
              <w14:schemeClr w14:val="tx1"/>
            </w14:solidFill>
          </w14:textFill>
        </w:rPr>
        <w:t>9.根据什么方程可以利用海表面动力高度（sea surface dynamic height）来计算海流速度？</w:t>
      </w:r>
    </w:p>
    <w:p w14:paraId="7A5EAC60">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地转流流速的公式为</w:t>
      </w:r>
    </w:p>
    <w:p w14:paraId="7570670E">
      <w:pPr>
        <w:bidi w:val="0"/>
        <w:spacing w:line="360" w:lineRule="auto"/>
        <w:ind w:firstLine="420" w:firstLineChars="200"/>
        <w:rPr>
          <w:rFonts w:hAnsi="Cambria Math"/>
          <w:i w:val="0"/>
        </w:rPr>
      </w:pPr>
      <m:oMathPara>
        <m:oMathParaPr>
          <m:jc m:val="center"/>
        </m:oMathParaPr>
        <m:oMath>
          <m:sSup>
            <m:sSupPr/>
            <m:e>
              <m:r>
                <m:rPr>
                  <m:sty m:val="p"/>
                </m:rPr>
                <m:t>U</m:t>
              </m:r>
            </m:e>
            <m:sup>
              <m:r>
                <m:rPr>
                  <m:sty m:val="p"/>
                </m:rPr>
                <m:t>′</m:t>
              </m:r>
            </m:sup>
          </m:sSup>
          <m:r>
            <m:rPr>
              <m:sty m:val="p"/>
            </m:rPr>
            <m:t>=−</m:t>
          </m:r>
          <m:f>
            <m:fPr>
              <m:ctrlPr>
                <w:rPr>
                  <w:rFonts w:ascii="Cambria Math" w:hAnsi="Cambria Math"/>
                </w:rPr>
              </m:ctrlPr>
            </m:fPr>
            <m:num>
              <m:r>
                <m:rPr/>
                <m:t>g</m:t>
              </m:r>
              <m:ctrlPr>
                <w:rPr>
                  <w:rFonts w:ascii="Cambria Math" w:hAnsi="Cambria Math"/>
                </w:rPr>
              </m:ctrlPr>
            </m:num>
            <m:den>
              <m:r>
                <m:rPr/>
                <m:t>f</m:t>
              </m:r>
              <m:ctrlPr>
                <w:rPr>
                  <w:rFonts w:ascii="Cambria Math" w:hAnsi="Cambria Math"/>
                </w:rPr>
              </m:ctrlPr>
            </m:den>
          </m:f>
          <m:f>
            <m:fPr>
              <m:ctrlPr>
                <w:rPr>
                  <w:rFonts w:ascii="Cambria Math" w:hAnsi="Cambria Math"/>
                </w:rPr>
              </m:ctrlPr>
            </m:fPr>
            <m:num>
              <m:r>
                <m:rPr>
                  <m:sty m:val="p"/>
                </m:rPr>
                <m:t>∂(</m:t>
              </m:r>
              <m:r>
                <m:rPr/>
                <m:t>SLA</m:t>
              </m:r>
              <m:r>
                <m:rPr>
                  <m:sty m:val="p"/>
                </m:rPr>
                <m:t>)</m:t>
              </m:r>
              <m:ctrlPr>
                <w:rPr>
                  <w:rFonts w:ascii="Cambria Math" w:hAnsi="Cambria Math"/>
                </w:rPr>
              </m:ctrlPr>
            </m:num>
            <m:den>
              <m:r>
                <m:rPr>
                  <m:sty m:val="p"/>
                </m:rPr>
                <m:t>∂</m:t>
              </m:r>
              <m:r>
                <m:rPr/>
                <m:t>y</m:t>
              </m:r>
              <m:ctrlPr>
                <w:rPr>
                  <w:rFonts w:ascii="Cambria Math" w:hAnsi="Cambria Math"/>
                </w:rPr>
              </m:ctrlPr>
            </m:den>
          </m:f>
        </m:oMath>
      </m:oMathPara>
    </w:p>
    <w:p w14:paraId="2B8D8BEA">
      <w:pPr>
        <w:bidi w:val="0"/>
        <w:spacing w:line="360" w:lineRule="auto"/>
        <w:ind w:firstLine="420" w:firstLineChars="200"/>
        <w:rPr>
          <w:rFonts w:hAnsi="Cambria Math"/>
          <w:i w:val="0"/>
        </w:rPr>
      </w:pPr>
      <m:oMathPara>
        <m:oMathParaPr>
          <m:jc m:val="center"/>
        </m:oMathParaPr>
        <m:oMath>
          <m:sSup>
            <m:sSupPr/>
            <m:e>
              <m:r>
                <m:rPr>
                  <m:nor/>
                  <m:sty m:val="p"/>
                </m:rPr>
                <w:rPr>
                  <w:b w:val="0"/>
                  <w:i w:val="0"/>
                </w:rPr>
                <m:t xml:space="preserve"> V</m:t>
              </m:r>
            </m:e>
            <m:sup>
              <m:r>
                <m:rPr>
                  <m:sty m:val="p"/>
                </m:rPr>
                <m:t>′</m:t>
              </m:r>
            </m:sup>
          </m:sSup>
          <m:r>
            <m:rPr>
              <m:sty m:val="p"/>
            </m:rPr>
            <m:t>=</m:t>
          </m:r>
          <m:f>
            <m:fPr>
              <m:ctrlPr>
                <w:rPr>
                  <w:rFonts w:ascii="Cambria Math" w:hAnsi="Cambria Math"/>
                </w:rPr>
              </m:ctrlPr>
            </m:fPr>
            <m:num>
              <m:r>
                <m:rPr/>
                <m:t>g</m:t>
              </m:r>
              <m:ctrlPr>
                <w:rPr>
                  <w:rFonts w:ascii="Cambria Math" w:hAnsi="Cambria Math"/>
                </w:rPr>
              </m:ctrlPr>
            </m:num>
            <m:den>
              <m:r>
                <m:rPr/>
                <m:t>f</m:t>
              </m:r>
              <m:ctrlPr>
                <w:rPr>
                  <w:rFonts w:ascii="Cambria Math" w:hAnsi="Cambria Math"/>
                </w:rPr>
              </m:ctrlPr>
            </m:den>
          </m:f>
          <m:f>
            <m:fPr>
              <m:ctrlPr>
                <w:rPr>
                  <w:rFonts w:ascii="Cambria Math" w:hAnsi="Cambria Math"/>
                </w:rPr>
              </m:ctrlPr>
            </m:fPr>
            <m:num>
              <m:r>
                <m:rPr>
                  <m:sty m:val="p"/>
                </m:rPr>
                <m:t>∂(</m:t>
              </m:r>
              <m:r>
                <m:rPr/>
                <m:t>SLA</m:t>
              </m:r>
              <m:r>
                <m:rPr>
                  <m:sty m:val="p"/>
                </m:rPr>
                <m:t>)</m:t>
              </m:r>
              <m:ctrlPr>
                <w:rPr>
                  <w:rFonts w:ascii="Cambria Math" w:hAnsi="Cambria Math"/>
                </w:rPr>
              </m:ctrlPr>
            </m:num>
            <m:den>
              <m:r>
                <m:rPr>
                  <m:sty m:val="p"/>
                </m:rPr>
                <m:t>∂</m:t>
              </m:r>
              <m:r>
                <m:rPr/>
                <m:t>x</m:t>
              </m:r>
              <m:ctrlPr>
                <w:rPr>
                  <w:rFonts w:ascii="Cambria Math" w:hAnsi="Cambria Math"/>
                </w:rPr>
              </m:ctrlPr>
            </m:den>
          </m:f>
        </m:oMath>
      </m:oMathPara>
    </w:p>
    <w:p w14:paraId="7B2E1A83">
      <w:pPr>
        <w:bidi w:val="0"/>
        <w:spacing w:line="360" w:lineRule="auto"/>
        <w:ind w:firstLine="420" w:firstLineChars="200"/>
        <w:rPr>
          <w:rFonts w:hint="default"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fldChar w:fldCharType="begin"/>
      </w:r>
      <w:r>
        <w:rPr>
          <w:rFonts w:hint="eastAsia" w:cstheme="minorBidi"/>
          <w:b w:val="0"/>
          <w:bCs w:val="0"/>
          <w:color w:val="000000" w:themeColor="text1"/>
          <w:lang w:val="en-US" w:eastAsia="zh-CN"/>
          <w14:textFill>
            <w14:solidFill>
              <w14:schemeClr w14:val="tx1"/>
            </w14:solidFill>
          </w14:textFill>
        </w:rPr>
        <w:instrText xml:space="preserve"> HYPERLINK "https://so.csdn.net/so/search?q=SLA&amp;spm=1001.2101.3001.7020" \t "https://blog.csdn.net/lisqwakkak/article/details/_blank" </w:instrText>
      </w:r>
      <w:r>
        <w:rPr>
          <w:rFonts w:hint="eastAsia" w:cstheme="minorBidi"/>
          <w:b w:val="0"/>
          <w:bCs w:val="0"/>
          <w:color w:val="000000" w:themeColor="text1"/>
          <w:lang w:val="en-US" w:eastAsia="zh-CN"/>
          <w14:textFill>
            <w14:solidFill>
              <w14:schemeClr w14:val="tx1"/>
            </w14:solidFill>
          </w14:textFill>
        </w:rPr>
        <w:fldChar w:fldCharType="separate"/>
      </w:r>
      <w:r>
        <w:rPr>
          <w:rFonts w:hint="default" w:cstheme="minorBidi"/>
          <w:b w:val="0"/>
          <w:bCs w:val="0"/>
          <w:color w:val="000000" w:themeColor="text1"/>
          <w:lang w:val="en-US" w:eastAsia="zh-CN"/>
          <w14:textFill>
            <w14:solidFill>
              <w14:schemeClr w14:val="tx1"/>
            </w14:solidFill>
          </w14:textFill>
        </w:rPr>
        <w:t>SLA</w:t>
      </w:r>
      <w:r>
        <w:rPr>
          <w:rFonts w:hint="default" w:cstheme="minorBidi"/>
          <w:b w:val="0"/>
          <w:bCs w:val="0"/>
          <w:color w:val="000000" w:themeColor="text1"/>
          <w:lang w:val="en-US" w:eastAsia="zh-CN"/>
          <w14:textFill>
            <w14:solidFill>
              <w14:schemeClr w14:val="tx1"/>
            </w14:solidFill>
          </w14:textFill>
        </w:rPr>
        <w:fldChar w:fldCharType="end"/>
      </w:r>
      <w:r>
        <w:rPr>
          <w:rFonts w:hint="default" w:cstheme="minorBidi"/>
          <w:b w:val="0"/>
          <w:bCs w:val="0"/>
          <w:color w:val="000000" w:themeColor="text1"/>
          <w:lang w:val="en-US" w:eastAsia="zh-CN"/>
          <w14:textFill>
            <w14:solidFill>
              <w14:schemeClr w14:val="tx1"/>
            </w14:solidFill>
          </w14:textFill>
        </w:rPr>
        <w:t>为海表面高度数据，g是重力加速度，f是科里奥利力频率。</w:t>
      </w:r>
    </w:p>
    <w:p w14:paraId="65746E09">
      <w:pPr>
        <w:bidi w:val="0"/>
        <w:spacing w:line="360" w:lineRule="auto"/>
        <w:ind w:firstLine="420" w:firstLineChars="200"/>
        <w:rPr>
          <w:rFonts w:hint="default" w:cstheme="minorBidi"/>
          <w:b w:val="0"/>
          <w:bCs w:val="0"/>
          <w:color w:val="000000" w:themeColor="text1"/>
          <w:lang w:val="en-US" w:eastAsia="zh-CN"/>
          <w14:textFill>
            <w14:solidFill>
              <w14:schemeClr w14:val="tx1"/>
            </w14:solidFill>
          </w14:textFill>
        </w:rPr>
      </w:pPr>
    </w:p>
    <w:p w14:paraId="4B5F9267">
      <w:pPr>
        <w:bidi w:val="0"/>
        <w:spacing w:line="360" w:lineRule="auto"/>
        <w:ind w:firstLine="420" w:firstLineChars="200"/>
        <w:rPr>
          <w:rFonts w:hint="default" w:cstheme="minorBidi"/>
          <w:b w:val="0"/>
          <w:bCs w:val="0"/>
          <w:color w:val="000000" w:themeColor="text1"/>
          <w:lang w:val="en-US" w:eastAsia="zh-CN"/>
          <w14:textFill>
            <w14:solidFill>
              <w14:schemeClr w14:val="tx1"/>
            </w14:solidFill>
          </w14:textFill>
        </w:rPr>
      </w:pPr>
      <w:r>
        <w:rPr>
          <w:rFonts w:hint="default" w:cstheme="minorBidi"/>
          <w:b w:val="0"/>
          <w:bCs w:val="0"/>
          <w:color w:val="000000" w:themeColor="text1"/>
          <w:lang w:val="en-US" w:eastAsia="zh-CN"/>
          <w14:textFill>
            <w14:solidFill>
              <w14:schemeClr w14:val="tx1"/>
            </w14:solidFill>
          </w14:textFill>
        </w:rPr>
        <w:t>根据地转平衡方程，可以利用海表面动力高度（sea surface dynamic height）来计算海流速度。地转平衡方程是海洋动力学中的一个基本方程，它描述了在没有摩擦力的情况下，海水的流动与压力梯度之间的平衡关系。</w:t>
      </w:r>
    </w:p>
    <w:p w14:paraId="0DE0BF54">
      <w:pPr>
        <w:bidi w:val="0"/>
        <w:spacing w:line="360" w:lineRule="auto"/>
        <w:ind w:firstLine="420" w:firstLineChars="200"/>
        <w:rPr>
          <w:rFonts w:hint="default" w:cstheme="minorBidi"/>
          <w:b w:val="0"/>
          <w:bCs w:val="0"/>
          <w:color w:val="000000" w:themeColor="text1"/>
          <w:lang w:val="en-US" w:eastAsia="zh-CN"/>
          <w14:textFill>
            <w14:solidFill>
              <w14:schemeClr w14:val="tx1"/>
            </w14:solidFill>
          </w14:textFill>
        </w:rPr>
      </w:pPr>
      <w:r>
        <w:rPr>
          <w:rFonts w:hint="default" w:cstheme="minorBidi"/>
          <w:b w:val="0"/>
          <w:bCs w:val="0"/>
          <w:color w:val="000000" w:themeColor="text1"/>
          <w:lang w:val="en-US" w:eastAsia="zh-CN"/>
          <w14:textFill>
            <w14:solidFill>
              <w14:schemeClr w14:val="tx1"/>
            </w14:solidFill>
          </w14:textFill>
        </w:rPr>
        <w:t>具体来说，地转平衡方程可以表示为：</w:t>
      </w:r>
    </w:p>
    <w:p w14:paraId="4FD4C628">
      <w:pPr>
        <w:spacing w:after="240"/>
      </w:pPr>
      <m:oMathPara>
        <m:oMath>
          <m:r>
            <m:rPr/>
            <m:t>f</m:t>
          </m:r>
          <m:r>
            <m:rPr>
              <m:sty m:val="p"/>
            </m:rPr>
            <m:t>×</m:t>
          </m:r>
          <m:r>
            <m:rPr>
              <m:sty m:val="b"/>
            </m:rPr>
            <m:t>v</m:t>
          </m:r>
          <m:r>
            <m:rPr>
              <m:sty m:val="p"/>
            </m:rPr>
            <m:t>=−</m:t>
          </m:r>
          <m:f>
            <m:fPr>
              <m:ctrlPr>
                <w:rPr>
                  <w:rFonts w:ascii="Cambria Math" w:hAnsi="Cambria Math"/>
                </w:rPr>
              </m:ctrlPr>
            </m:fPr>
            <m:num>
              <m:r>
                <m:rPr>
                  <m:sty m:val="p"/>
                </m:rPr>
                <m:t>1</m:t>
              </m:r>
              <m:ctrlPr>
                <w:rPr>
                  <w:rFonts w:ascii="Cambria Math" w:hAnsi="Cambria Math"/>
                </w:rPr>
              </m:ctrlPr>
            </m:num>
            <m:den>
              <m:r>
                <m:rPr/>
                <m:t>ρ</m:t>
              </m:r>
              <m:ctrlPr>
                <w:rPr>
                  <w:rFonts w:ascii="Cambria Math" w:hAnsi="Cambria Math"/>
                </w:rPr>
              </m:ctrlPr>
            </m:den>
          </m:f>
          <m:r>
            <m:rPr>
              <m:sty m:val="p"/>
            </m:rPr>
            <m:t>∇</m:t>
          </m:r>
          <m:r>
            <m:rPr/>
            <m:t>p</m:t>
          </m:r>
        </m:oMath>
      </m:oMathPara>
    </w:p>
    <w:p w14:paraId="5F7CF06C">
      <w:pPr>
        <w:spacing w:after="240"/>
        <w:ind w:firstLine="420" w:firstLineChars="200"/>
        <w:rPr>
          <w:rFonts w:hint="default" w:cstheme="minorBidi"/>
          <w:b w:val="0"/>
          <w:bCs w:val="0"/>
          <w:color w:val="000000" w:themeColor="text1"/>
          <w:lang w:val="en-US" w:eastAsia="zh-CN"/>
          <w14:textFill>
            <w14:solidFill>
              <w14:schemeClr w14:val="tx1"/>
            </w14:solidFill>
          </w14:textFill>
        </w:rPr>
      </w:pPr>
      <w:r>
        <w:t xml:space="preserve">其中， </w:t>
      </w:r>
      <m:oMath>
        <m:r>
          <m:rPr/>
          <m:t>f</m:t>
        </m:r>
      </m:oMath>
      <w:r>
        <w:t xml:space="preserve"> 是科氏参数（Coriolis parameter）， </w:t>
      </w:r>
      <m:oMath>
        <m:r>
          <m:rPr>
            <m:sty m:val="b"/>
          </m:rPr>
          <m:t>v</m:t>
        </m:r>
      </m:oMath>
      <w:r>
        <w:t xml:space="preserve"> 是海流速度问量， </w:t>
      </w:r>
      <m:oMath>
        <m:r>
          <m:rPr/>
          <m:t>ρ</m:t>
        </m:r>
      </m:oMath>
      <w:r>
        <w:t xml:space="preserve"> 是海水密度， </w:t>
      </w:r>
      <m:oMath>
        <m:r>
          <m:rPr>
            <m:sty m:val="p"/>
          </m:rPr>
          <m:t>∇</m:t>
        </m:r>
        <m:r>
          <m:rPr/>
          <m:t>p</m:t>
        </m:r>
      </m:oMath>
      <w:r>
        <w:t xml:space="preserve"> 是压力梯度。</w:t>
      </w:r>
      <w:bookmarkStart w:id="2" w:name="_GoBack"/>
      <w:bookmarkEnd w:id="2"/>
    </w:p>
    <w:p w14:paraId="1A772CCC">
      <w:pPr>
        <w:bidi w:val="0"/>
        <w:spacing w:line="360" w:lineRule="auto"/>
        <w:ind w:firstLine="420" w:firstLineChars="200"/>
        <w:rPr>
          <w:rFonts w:hint="default" w:cstheme="minorBidi"/>
          <w:b w:val="0"/>
          <w:bCs w:val="0"/>
          <w:color w:val="000000" w:themeColor="text1"/>
          <w:lang w:val="en-US" w:eastAsia="zh-CN"/>
          <w14:textFill>
            <w14:solidFill>
              <w14:schemeClr w14:val="tx1"/>
            </w14:solidFill>
          </w14:textFill>
        </w:rPr>
      </w:pPr>
      <w:r>
        <w:rPr>
          <w:rFonts w:hint="default" w:cstheme="minorBidi"/>
          <w:b w:val="0"/>
          <w:bCs w:val="0"/>
          <w:color w:val="000000" w:themeColor="text1"/>
          <w:lang w:val="en-US" w:eastAsia="zh-CN"/>
          <w14:textFill>
            <w14:solidFill>
              <w14:schemeClr w14:val="tx1"/>
            </w14:solidFill>
          </w14:textFill>
        </w:rPr>
        <w:t>在实际应用中，海表面动力高度（sea surface dynamic height）可以通过卫星高度计测量得到。海表面动力高度与海表面地转流直接相关，可以用来计算海流速度。具体的计算方法可以参考以下公式：</w:t>
      </w:r>
    </w:p>
    <w:p w14:paraId="4CC07B45">
      <w:pPr>
        <w:spacing w:after="240"/>
      </w:pPr>
      <m:oMathPara>
        <m:oMath>
          <m:r>
            <m:rPr>
              <m:sty m:val="b"/>
            </m:rPr>
            <m:t>v</m:t>
          </m:r>
          <m:r>
            <m:rPr>
              <m:sty m:val="p"/>
            </m:rPr>
            <m:t>=−</m:t>
          </m:r>
          <m:f>
            <m:fPr>
              <m:ctrlPr>
                <w:rPr>
                  <w:rFonts w:ascii="Cambria Math" w:hAnsi="Cambria Math"/>
                </w:rPr>
              </m:ctrlPr>
            </m:fPr>
            <m:num>
              <m:r>
                <m:rPr/>
                <m:t>g</m:t>
              </m:r>
              <m:ctrlPr>
                <w:rPr>
                  <w:rFonts w:ascii="Cambria Math" w:hAnsi="Cambria Math"/>
                </w:rPr>
              </m:ctrlPr>
            </m:num>
            <m:den>
              <m:r>
                <m:rPr/>
                <m:t>f</m:t>
              </m:r>
              <m:ctrlPr>
                <w:rPr>
                  <w:rFonts w:ascii="Cambria Math" w:hAnsi="Cambria Math"/>
                </w:rPr>
              </m:ctrlPr>
            </m:den>
          </m:f>
          <m:r>
            <m:rPr>
              <m:sty m:val="p"/>
            </m:rPr>
            <m:t>∇</m:t>
          </m:r>
          <m:sSub>
            <m:sSubPr/>
            <m:e>
              <m:r>
                <m:rPr/>
                <m:t>ℎ</m:t>
              </m:r>
            </m:e>
            <m:sub>
              <m:r>
                <m:rPr/>
                <m:t>d</m:t>
              </m:r>
            </m:sub>
          </m:sSub>
        </m:oMath>
      </m:oMathPara>
    </w:p>
    <w:p w14:paraId="7A91E525">
      <w:pPr>
        <w:spacing w:after="240"/>
        <w:ind w:firstLine="420" w:firstLineChars="200"/>
        <w:rPr>
          <w:rFonts w:hint="default" w:cstheme="minorBidi"/>
          <w:b w:val="0"/>
          <w:bCs w:val="0"/>
          <w:color w:val="000000" w:themeColor="text1"/>
          <w:lang w:val="en-US" w:eastAsia="zh-CN"/>
          <w14:textFill>
            <w14:solidFill>
              <w14:schemeClr w14:val="tx1"/>
            </w14:solidFill>
          </w14:textFill>
        </w:rPr>
      </w:pPr>
      <w:r>
        <w:t xml:space="preserve">其中， </w:t>
      </w:r>
      <m:oMath>
        <m:r>
          <m:rPr/>
          <m:t>g</m:t>
        </m:r>
      </m:oMath>
      <w:r>
        <w:t xml:space="preserve"> 是重力加速度， </w:t>
      </w:r>
      <m:oMath>
        <m:sSub>
          <m:sSubPr/>
          <m:e>
            <m:r>
              <m:rPr/>
              <m:t>ℎ</m:t>
            </m:r>
          </m:e>
          <m:sub>
            <m:r>
              <m:rPr/>
              <m:t>d</m:t>
            </m:r>
          </m:sub>
        </m:sSub>
      </m:oMath>
      <w:r>
        <w:t xml:space="preserve"> 是海表面动力高度。</w:t>
      </w:r>
    </w:p>
    <w:p w14:paraId="738C6113">
      <w:pPr>
        <w:bidi w:val="0"/>
        <w:spacing w:line="360" w:lineRule="auto"/>
        <w:ind w:firstLine="420" w:firstLineChars="200"/>
        <w:rPr>
          <w:rFonts w:hint="default" w:cstheme="minorBidi"/>
          <w:b w:val="0"/>
          <w:bCs w:val="0"/>
          <w:color w:val="000000" w:themeColor="text1"/>
          <w:lang w:val="en-US" w:eastAsia="zh-CN"/>
          <w14:textFill>
            <w14:solidFill>
              <w14:schemeClr w14:val="tx1"/>
            </w14:solidFill>
          </w14:textFill>
        </w:rPr>
      </w:pPr>
      <w:r>
        <w:rPr>
          <w:rFonts w:hint="default" w:cstheme="minorBidi"/>
          <w:b w:val="0"/>
          <w:bCs w:val="0"/>
          <w:color w:val="000000" w:themeColor="text1"/>
          <w:lang w:val="en-US" w:eastAsia="zh-CN"/>
          <w14:textFill>
            <w14:solidFill>
              <w14:schemeClr w14:val="tx1"/>
            </w14:solidFill>
          </w14:textFill>
        </w:rPr>
        <w:t>海流速度与海表面动力高度的梯度成正比，与科氏参数成反比。因此，通过测量海表面动力高度的变化，可以间接计算出海流速度的分布。它提供了一种从卫星观测数据中获取海流信息的有效途径。</w:t>
      </w:r>
    </w:p>
    <w:p w14:paraId="3BD0F57A">
      <w:pPr>
        <w:bidi w:val="0"/>
        <w:spacing w:line="360" w:lineRule="auto"/>
        <w:ind w:firstLine="420" w:firstLineChars="200"/>
        <w:rPr>
          <w:rFonts w:hint="default" w:cstheme="minorBidi"/>
          <w:b w:val="0"/>
          <w:bCs w:val="0"/>
          <w:color w:val="000000" w:themeColor="text1"/>
          <w:lang w:val="en-US" w:eastAsia="zh-CN"/>
          <w14:textFill>
            <w14:solidFill>
              <w14:schemeClr w14:val="tx1"/>
            </w14:solidFill>
          </w14:textFill>
        </w:rPr>
      </w:pPr>
    </w:p>
    <w:p w14:paraId="0F610206">
      <w:pPr>
        <w:pStyle w:val="2"/>
        <w:numPr>
          <w:ilvl w:val="0"/>
          <w:numId w:val="5"/>
        </w:numPr>
        <w:bidi w:val="0"/>
        <w:spacing w:before="0" w:after="0" w:line="360" w:lineRule="auto"/>
        <w:rPr>
          <w:rFonts w:hint="eastAsia" w:cstheme="minorBidi"/>
          <w:color w:val="000000" w:themeColor="text1"/>
          <w14:textFill>
            <w14:solidFill>
              <w14:schemeClr w14:val="tx1"/>
            </w14:solidFill>
          </w14:textFill>
        </w:rPr>
      </w:pPr>
      <w:r>
        <w:rPr>
          <w:rFonts w:hint="eastAsia" w:cstheme="minorBidi"/>
          <w:color w:val="000000" w:themeColor="text1"/>
          <w14:textFill>
            <w14:solidFill>
              <w14:schemeClr w14:val="tx1"/>
            </w14:solidFill>
          </w14:textFill>
        </w:rPr>
        <w:t>高度计测量的误差来源主要有哪些？</w:t>
      </w:r>
    </w:p>
    <w:p w14:paraId="3CCEE133">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 xml:space="preserve">高度计观测误差主要包括： </w:t>
      </w:r>
    </w:p>
    <w:p w14:paraId="6642DA66">
      <w:pPr>
        <w:numPr>
          <w:ilvl w:val="0"/>
          <w:numId w:val="6"/>
        </w:num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 xml:space="preserve">传播媒介误差： • 大气延迟误差：电离层，对流层。 • 水汽延迟：水汽含量增加导致传播速度减慢。 • 修正方法：干大气校正，湿大气校正，电离层校正，水汽修正（利 用辐射计测量水汽，结合 ECMWF 模式进行校正）。 </w:t>
      </w:r>
    </w:p>
    <w:p w14:paraId="46DA98C5">
      <w:pPr>
        <w:numPr>
          <w:ilvl w:val="0"/>
          <w:numId w:val="6"/>
        </w:num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 xml:space="preserve">海况误差： • 海浪影响信号回波的偏移。 • 修正方法：海浪校正（结合数值波浪模型（如 WAVEWATCH III） 校正），电磁偏差修正，偏度偏差修正。 </w:t>
      </w:r>
    </w:p>
    <w:p w14:paraId="5F67249C">
      <w:pPr>
        <w:numPr>
          <w:ilvl w:val="0"/>
          <w:numId w:val="6"/>
        </w:num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 xml:space="preserve">仪器误差： • 热噪声、电磁噪声等影响测量精度。 • 仪器：跟踪偏差，波形采样增益定标偏差，天线方向图，自动增 益控制衰减，多普勒频移，距离加速度，振荡器频率漂移，指向 角/海况，仪器噪声。 </w:t>
      </w:r>
    </w:p>
    <w:p w14:paraId="2D1059D9">
      <w:pPr>
        <w:numPr>
          <w:ilvl w:val="0"/>
          <w:numId w:val="6"/>
        </w:numPr>
        <w:bidi w:val="0"/>
        <w:spacing w:line="360" w:lineRule="auto"/>
        <w:ind w:firstLine="420" w:firstLineChars="200"/>
        <w:rPr>
          <w:rFonts w:asciiTheme="minorEastAsia" w:hAnsiTheme="minorEastAsia" w:eastAsiaTheme="minorEastAsia"/>
          <w:color w:val="000000"/>
          <w:kern w:val="0"/>
          <w:sz w:val="24"/>
        </w:rPr>
      </w:pPr>
      <w:r>
        <w:rPr>
          <w:rFonts w:hint="eastAsia" w:cstheme="minorBidi"/>
          <w:b w:val="0"/>
          <w:bCs w:val="0"/>
          <w:color w:val="000000" w:themeColor="text1"/>
          <w:lang w:val="en-US" w:eastAsia="zh-CN"/>
          <w14:textFill>
            <w14:solidFill>
              <w14:schemeClr w14:val="tx1"/>
            </w14:solidFill>
          </w14:textFill>
        </w:rPr>
        <w:t>混叠误差 (Aliasing)： • 高频信号被低频采样干扰。 • 遵循 Nyquist 定律，采样间隔应小于信号周期的一半。</w:t>
      </w:r>
    </w:p>
    <w:p w14:paraId="7FC3F40C">
      <w:pPr>
        <w:pStyle w:val="2"/>
        <w:numPr>
          <w:ilvl w:val="0"/>
          <w:numId w:val="5"/>
        </w:numPr>
        <w:bidi w:val="0"/>
        <w:spacing w:before="0" w:after="0" w:line="360" w:lineRule="auto"/>
        <w:ind w:left="0" w:leftChars="0" w:firstLine="0" w:firstLineChars="0"/>
        <w:rPr>
          <w:rFonts w:hint="eastAsia" w:cstheme="minorBidi"/>
          <w:color w:val="000000" w:themeColor="text1"/>
          <w14:textFill>
            <w14:solidFill>
              <w14:schemeClr w14:val="tx1"/>
            </w14:solidFill>
          </w14:textFill>
        </w:rPr>
      </w:pPr>
      <w:r>
        <w:rPr>
          <w:rFonts w:hint="eastAsia" w:cstheme="minorBidi"/>
          <w:color w:val="000000" w:themeColor="text1"/>
          <w14:textFill>
            <w14:solidFill>
              <w14:schemeClr w14:val="tx1"/>
            </w14:solidFill>
          </w14:textFill>
        </w:rPr>
        <w:t>合成孔径雷达（SAR）合成天线要素（位置，发射与吸收信号等）,影响SAR分辨率因素等。</w:t>
      </w:r>
    </w:p>
    <w:p w14:paraId="08644E11">
      <w:pPr>
        <w:bidi w:val="0"/>
        <w:spacing w:line="360" w:lineRule="auto"/>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合成孔径雷达（SAR）通过合成天线技术来提高方位向分辨率。</w:t>
      </w:r>
      <w:r>
        <w:rPr>
          <w:rFonts w:hint="eastAsia" w:cstheme="minorBidi"/>
          <w:b/>
          <w:bCs/>
          <w:color w:val="000000" w:themeColor="text1"/>
          <w:lang w:val="en-US" w:eastAsia="zh-CN"/>
          <w14:textFill>
            <w14:solidFill>
              <w14:schemeClr w14:val="tx1"/>
            </w14:solidFill>
          </w14:textFill>
        </w:rPr>
        <w:t>合成天线要素</w:t>
      </w:r>
      <w:r>
        <w:rPr>
          <w:rFonts w:hint="eastAsia" w:cstheme="minorBidi"/>
          <w:b w:val="0"/>
          <w:bCs w:val="0"/>
          <w:color w:val="000000" w:themeColor="text1"/>
          <w:lang w:val="en-US" w:eastAsia="zh-CN"/>
          <w14:textFill>
            <w14:solidFill>
              <w14:schemeClr w14:val="tx1"/>
            </w14:solidFill>
          </w14:textFill>
        </w:rPr>
        <w:t>包括：</w:t>
      </w:r>
    </w:p>
    <w:p w14:paraId="04E00044">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位置：合成孔径雷达的天线位置是沿着飞行轨迹移动的。随着雷达平台的移动，天线在不同位置上发射和接收信号，从而合成一个等效的大孔径天线。</w:t>
      </w:r>
    </w:p>
    <w:p w14:paraId="111457A0">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发射与接收信号：SAR系统发射微波信号，并接收从地面反射回来的信号。发射信号通常是线性调频信号（Chirp信号），这种信号在接收后可以通过匹配滤波技术进行脉冲压缩，从而提高距离向分辨率。</w:t>
      </w:r>
    </w:p>
    <w:p w14:paraId="79B63D8C">
      <w:pPr>
        <w:bidi w:val="0"/>
        <w:spacing w:line="360" w:lineRule="auto"/>
        <w:rPr>
          <w:rFonts w:hint="eastAsia" w:cstheme="minorBidi"/>
          <w:b/>
          <w:bCs/>
          <w:color w:val="000000" w:themeColor="text1"/>
          <w:lang w:val="en-US" w:eastAsia="zh-CN"/>
          <w14:textFill>
            <w14:solidFill>
              <w14:schemeClr w14:val="tx1"/>
            </w14:solidFill>
          </w14:textFill>
        </w:rPr>
      </w:pPr>
      <w:r>
        <w:rPr>
          <w:rFonts w:hint="eastAsia" w:cstheme="minorBidi"/>
          <w:b/>
          <w:bCs/>
          <w:color w:val="000000" w:themeColor="text1"/>
          <w:lang w:val="en-US" w:eastAsia="zh-CN"/>
          <w14:textFill>
            <w14:solidFill>
              <w14:schemeClr w14:val="tx1"/>
            </w14:solidFill>
          </w14:textFill>
        </w:rPr>
        <w:t>影响SAR分辨率的因素</w:t>
      </w:r>
    </w:p>
    <w:p w14:paraId="45177BD9">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SAR图像的分辨率分为距离向分辨率和方位向分辨率，它们分别受到不同因素的影响：</w:t>
      </w:r>
    </w:p>
    <w:p w14:paraId="1C208637">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距离向分辨率：距离向分辨率与雷达系统发射的脉冲信号相关，与脉冲持续时间成正比。为了提高距离向分辨率，可以采用更短的脉冲宽度或引入频率调制。</w:t>
      </w:r>
    </w:p>
    <w:p w14:paraId="35292741">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方位向分辨率：方位向分辨率由合成孔径的长度决定，即</w:t>
      </w:r>
      <w:r>
        <w:rPr>
          <w:rFonts w:hint="eastAsia" w:cstheme="minorBidi"/>
          <w:b/>
          <w:bCs/>
          <w:color w:val="000000" w:themeColor="text1"/>
          <w:lang w:val="en-US" w:eastAsia="zh-CN"/>
          <w14:textFill>
            <w14:solidFill>
              <w14:schemeClr w14:val="tx1"/>
            </w14:solidFill>
          </w14:textFill>
        </w:rPr>
        <w:t>雷达从不同角度观察目标的持续时间</w:t>
      </w:r>
      <w:r>
        <w:rPr>
          <w:rFonts w:hint="eastAsia" w:cstheme="minorBidi"/>
          <w:b w:val="0"/>
          <w:bCs w:val="0"/>
          <w:color w:val="000000" w:themeColor="text1"/>
          <w:lang w:val="en-US" w:eastAsia="zh-CN"/>
          <w14:textFill>
            <w14:solidFill>
              <w14:schemeClr w14:val="tx1"/>
            </w14:solidFill>
          </w14:textFill>
        </w:rPr>
        <w:t>。合成孔径雷达利用雷达与目标之间的相对运动，通过存储并处理雷达数据，构造一个虚拟的大孔径天线，从而在不使用巨大天线的情况下获得高方位分辨率。</w:t>
      </w:r>
    </w:p>
    <w:p w14:paraId="1D61AC6C">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其他因素：影响SAR分辨率的因素还包括雷达系统的设计参数（如波长、天线尺寸等）、信号处理算法、以及目标的特性（如反射率、散射特性等）。</w:t>
      </w:r>
    </w:p>
    <w:p w14:paraId="6A22997C">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drawing>
          <wp:inline distT="0" distB="0" distL="114300" distR="114300">
            <wp:extent cx="5267325" cy="3190240"/>
            <wp:effectExtent l="0" t="0" r="5715" b="10160"/>
            <wp:docPr id="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pic:cNvPicPr>
                      <a:picLocks noChangeAspect="1"/>
                    </pic:cNvPicPr>
                  </pic:nvPicPr>
                  <pic:blipFill>
                    <a:blip r:embed="rId35"/>
                    <a:stretch>
                      <a:fillRect/>
                    </a:stretch>
                  </pic:blipFill>
                  <pic:spPr>
                    <a:xfrm>
                      <a:off x="0" y="0"/>
                      <a:ext cx="5267325" cy="3190240"/>
                    </a:xfrm>
                    <a:prstGeom prst="rect">
                      <a:avLst/>
                    </a:prstGeom>
                    <a:noFill/>
                    <a:ln>
                      <a:noFill/>
                    </a:ln>
                  </pic:spPr>
                </pic:pic>
              </a:graphicData>
            </a:graphic>
          </wp:inline>
        </w:drawing>
      </w:r>
    </w:p>
    <w:p w14:paraId="0B6CD365">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drawing>
          <wp:inline distT="0" distB="0" distL="114300" distR="114300">
            <wp:extent cx="5266055" cy="3197860"/>
            <wp:effectExtent l="0" t="0" r="6985" b="2540"/>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pic:cNvPicPr>
                      <a:picLocks noChangeAspect="1"/>
                    </pic:cNvPicPr>
                  </pic:nvPicPr>
                  <pic:blipFill>
                    <a:blip r:embed="rId36"/>
                    <a:stretch>
                      <a:fillRect/>
                    </a:stretch>
                  </pic:blipFill>
                  <pic:spPr>
                    <a:xfrm>
                      <a:off x="0" y="0"/>
                      <a:ext cx="5266055" cy="3197860"/>
                    </a:xfrm>
                    <a:prstGeom prst="rect">
                      <a:avLst/>
                    </a:prstGeom>
                    <a:noFill/>
                    <a:ln>
                      <a:noFill/>
                    </a:ln>
                  </pic:spPr>
                </pic:pic>
              </a:graphicData>
            </a:graphic>
          </wp:inline>
        </w:drawing>
      </w:r>
    </w:p>
    <w:p w14:paraId="366DDB0D">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距离方向：脉宽增大，盲区会变大，分辨距离会变大</w:t>
      </w:r>
    </w:p>
    <w:p w14:paraId="7FA5490A">
      <w:pPr>
        <w:bidi w:val="0"/>
        <w:spacing w:line="360" w:lineRule="auto"/>
        <w:ind w:firstLine="420" w:firstLineChars="200"/>
      </w:pPr>
      <w:r>
        <w:drawing>
          <wp:inline distT="0" distB="0" distL="114300" distR="114300">
            <wp:extent cx="5264785" cy="3297555"/>
            <wp:effectExtent l="0" t="0" r="8255" b="952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37"/>
                    <a:stretch>
                      <a:fillRect/>
                    </a:stretch>
                  </pic:blipFill>
                  <pic:spPr>
                    <a:xfrm>
                      <a:off x="0" y="0"/>
                      <a:ext cx="5264785" cy="3297555"/>
                    </a:xfrm>
                    <a:prstGeom prst="rect">
                      <a:avLst/>
                    </a:prstGeom>
                    <a:noFill/>
                    <a:ln>
                      <a:noFill/>
                    </a:ln>
                  </pic:spPr>
                </pic:pic>
              </a:graphicData>
            </a:graphic>
          </wp:inline>
        </w:drawing>
      </w:r>
    </w:p>
    <w:p w14:paraId="540A3130">
      <w:pPr>
        <w:bidi w:val="0"/>
        <w:spacing w:line="360" w:lineRule="auto"/>
        <w:ind w:firstLine="420" w:firstLineChars="200"/>
        <w:rPr>
          <w:rFonts w:hint="eastAsia" w:cstheme="minorBidi"/>
          <w:b w:val="0"/>
          <w:bCs w:val="0"/>
          <w:color w:val="000000" w:themeColor="text1"/>
          <w:lang w:val="en-US" w:eastAsia="zh-CN"/>
          <w14:textFill>
            <w14:solidFill>
              <w14:schemeClr w14:val="tx1"/>
            </w14:solidFill>
          </w14:textFill>
        </w:rPr>
      </w:pPr>
      <w:r>
        <w:rPr>
          <w:rFonts w:hint="eastAsia" w:cstheme="minorBidi"/>
          <w:b w:val="0"/>
          <w:bCs w:val="0"/>
          <w:color w:val="000000" w:themeColor="text1"/>
          <w:lang w:val="en-US" w:eastAsia="zh-CN"/>
          <w14:textFill>
            <w14:solidFill>
              <w14:schemeClr w14:val="tx1"/>
            </w14:solidFill>
          </w14:textFill>
        </w:rPr>
        <w:t>雷达图像的分辨率就是在图像上一个像元大小对应于水平海面的大小，在侧视方向上的分辨率称为距离分辨率，沿轨道方向上的分辨率称为方位分辨率。能够分辨的面元越小，分辨率越高。</w:t>
      </w:r>
    </w:p>
    <w:p w14:paraId="6B737A32">
      <w:pPr>
        <w:bidi w:val="0"/>
        <w:spacing w:line="360" w:lineRule="auto"/>
        <w:rPr>
          <w:rFonts w:hint="eastAsia" w:cstheme="minorBidi"/>
          <w:b w:val="0"/>
          <w:bCs w:val="0"/>
          <w:color w:val="000000" w:themeColor="text1"/>
          <w:lang w:val="en-US" w:eastAsia="zh-CN"/>
          <w14:textFill>
            <w14:solidFill>
              <w14:schemeClr w14:val="tx1"/>
            </w14:solidFill>
          </w14:textFill>
        </w:rPr>
      </w:pPr>
    </w:p>
    <w:p w14:paraId="338357C8">
      <w:pPr>
        <w:widowControl w:val="0"/>
        <w:numPr>
          <w:ilvl w:val="0"/>
          <w:numId w:val="0"/>
        </w:numPr>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0F1367"/>
    <w:multiLevelType w:val="singleLevel"/>
    <w:tmpl w:val="940F1367"/>
    <w:lvl w:ilvl="0" w:tentative="0">
      <w:start w:val="6"/>
      <w:numFmt w:val="decimal"/>
      <w:lvlText w:val="%1."/>
      <w:lvlJc w:val="left"/>
      <w:pPr>
        <w:tabs>
          <w:tab w:val="left" w:pos="312"/>
        </w:tabs>
      </w:pPr>
    </w:lvl>
  </w:abstractNum>
  <w:abstractNum w:abstractNumId="1">
    <w:nsid w:val="CF092B84"/>
    <w:multiLevelType w:val="singleLevel"/>
    <w:tmpl w:val="CF092B84"/>
    <w:lvl w:ilvl="0" w:tentative="0">
      <w:start w:val="1"/>
      <w:numFmt w:val="bullet"/>
      <w:lvlText w:val=""/>
      <w:lvlJc w:val="left"/>
      <w:pPr>
        <w:tabs>
          <w:tab w:val="left" w:pos="720"/>
        </w:tabs>
        <w:ind w:left="720" w:hanging="360"/>
      </w:pPr>
      <w:rPr>
        <w:rFonts w:hint="default" w:ascii="Symbol" w:hAnsi="Symbol"/>
      </w:rPr>
    </w:lvl>
  </w:abstractNum>
  <w:abstractNum w:abstractNumId="2">
    <w:nsid w:val="F80BBE09"/>
    <w:multiLevelType w:val="singleLevel"/>
    <w:tmpl w:val="F80BBE09"/>
    <w:lvl w:ilvl="0" w:tentative="0">
      <w:start w:val="5"/>
      <w:numFmt w:val="decimal"/>
      <w:lvlText w:val="%1."/>
      <w:lvlJc w:val="left"/>
      <w:pPr>
        <w:tabs>
          <w:tab w:val="left" w:pos="312"/>
        </w:tabs>
      </w:pPr>
    </w:lvl>
  </w:abstractNum>
  <w:abstractNum w:abstractNumId="3">
    <w:nsid w:val="1E8D581B"/>
    <w:multiLevelType w:val="singleLevel"/>
    <w:tmpl w:val="1E8D581B"/>
    <w:lvl w:ilvl="0" w:tentative="0">
      <w:start w:val="10"/>
      <w:numFmt w:val="decimal"/>
      <w:lvlText w:val="%1."/>
      <w:lvlJc w:val="left"/>
      <w:pPr>
        <w:tabs>
          <w:tab w:val="left" w:pos="312"/>
        </w:tabs>
      </w:pPr>
    </w:lvl>
  </w:abstractNum>
  <w:abstractNum w:abstractNumId="4">
    <w:nsid w:val="60879473"/>
    <w:multiLevelType w:val="singleLevel"/>
    <w:tmpl w:val="60879473"/>
    <w:lvl w:ilvl="0" w:tentative="0">
      <w:start w:val="1"/>
      <w:numFmt w:val="decimal"/>
      <w:suff w:val="space"/>
      <w:lvlText w:val="%1."/>
      <w:lvlJc w:val="left"/>
    </w:lvl>
  </w:abstractNum>
  <w:abstractNum w:abstractNumId="5">
    <w:nsid w:val="641892B9"/>
    <w:multiLevelType w:val="singleLevel"/>
    <w:tmpl w:val="641892B9"/>
    <w:lvl w:ilvl="0" w:tentative="0">
      <w:start w:val="1"/>
      <w:numFmt w:val="decimal"/>
      <w:suff w:val="space"/>
      <w:lvlText w:val="%1."/>
      <w:lvlJc w:val="left"/>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8E4"/>
    <w:rsid w:val="000C0B52"/>
    <w:rsid w:val="002F3A6A"/>
    <w:rsid w:val="003758B1"/>
    <w:rsid w:val="003B1620"/>
    <w:rsid w:val="00404F29"/>
    <w:rsid w:val="004D5E3C"/>
    <w:rsid w:val="00610FA7"/>
    <w:rsid w:val="00636A6E"/>
    <w:rsid w:val="006778E4"/>
    <w:rsid w:val="009C110E"/>
    <w:rsid w:val="00C57F05"/>
    <w:rsid w:val="00CD72D4"/>
    <w:rsid w:val="00D2151C"/>
    <w:rsid w:val="00D65BE4"/>
    <w:rsid w:val="00E35D0B"/>
    <w:rsid w:val="00F31C00"/>
    <w:rsid w:val="00F60AE5"/>
    <w:rsid w:val="24035199"/>
    <w:rsid w:val="2D2D6D54"/>
    <w:rsid w:val="5021327F"/>
    <w:rsid w:val="55BF3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24"/>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semiHidden/>
    <w:unhideWhenUsed/>
    <w:uiPriority w:val="99"/>
    <w:rPr>
      <w:color w:val="0000FF"/>
      <w:u w:val="single"/>
    </w:rPr>
  </w:style>
  <w:style w:type="character" w:customStyle="1" w:styleId="11">
    <w:name w:val="页眉 Char"/>
    <w:basedOn w:val="8"/>
    <w:link w:val="5"/>
    <w:qFormat/>
    <w:uiPriority w:val="99"/>
    <w:rPr>
      <w:sz w:val="18"/>
      <w:szCs w:val="18"/>
    </w:rPr>
  </w:style>
  <w:style w:type="character" w:customStyle="1" w:styleId="12">
    <w:name w:val="页脚 Char"/>
    <w:basedOn w:val="8"/>
    <w:link w:val="4"/>
    <w:qFormat/>
    <w:uiPriority w:val="99"/>
    <w:rPr>
      <w:sz w:val="18"/>
      <w:szCs w:val="18"/>
    </w:rPr>
  </w:style>
  <w:style w:type="paragraph" w:styleId="13">
    <w:name w:val="List Paragraph"/>
    <w:basedOn w:val="1"/>
    <w:qFormat/>
    <w:uiPriority w:val="34"/>
    <w:pPr>
      <w:ind w:firstLine="420" w:firstLineChars="200"/>
    </w:pPr>
  </w:style>
  <w:style w:type="table" w:customStyle="1" w:styleId="14">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wmf"/><Relationship Id="rId4" Type="http://schemas.openxmlformats.org/officeDocument/2006/relationships/oleObject" Target="embeddings/oleObject1.bin"/><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jpeg"/><Relationship Id="rId33" Type="http://schemas.openxmlformats.org/officeDocument/2006/relationships/image" Target="media/image17.wmf"/><Relationship Id="rId32" Type="http://schemas.openxmlformats.org/officeDocument/2006/relationships/oleObject" Target="embeddings/oleObject13.bin"/><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theme" Target="theme/theme1.xml"/><Relationship Id="rId29" Type="http://schemas.openxmlformats.org/officeDocument/2006/relationships/image" Target="media/image14.wmf"/><Relationship Id="rId28" Type="http://schemas.openxmlformats.org/officeDocument/2006/relationships/oleObject" Target="embeddings/oleObject12.bin"/><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png"/><Relationship Id="rId24" Type="http://schemas.openxmlformats.org/officeDocument/2006/relationships/oleObject" Target="embeddings/oleObject10.bin"/><Relationship Id="rId23" Type="http://schemas.openxmlformats.org/officeDocument/2006/relationships/oleObject" Target="embeddings/oleObject9.bin"/><Relationship Id="rId22" Type="http://schemas.openxmlformats.org/officeDocument/2006/relationships/oleObject" Target="embeddings/oleObject8.bin"/><Relationship Id="rId21" Type="http://schemas.openxmlformats.org/officeDocument/2006/relationships/oleObject" Target="embeddings/oleObject7.bin"/><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6.bin"/><Relationship Id="rId17" Type="http://schemas.openxmlformats.org/officeDocument/2006/relationships/image" Target="media/image9.wmf"/><Relationship Id="rId16" Type="http://schemas.openxmlformats.org/officeDocument/2006/relationships/oleObject" Target="embeddings/oleObject5.bin"/><Relationship Id="rId15" Type="http://schemas.openxmlformats.org/officeDocument/2006/relationships/image" Target="media/image8.wmf"/><Relationship Id="rId14" Type="http://schemas.openxmlformats.org/officeDocument/2006/relationships/oleObject" Target="embeddings/oleObject4.bin"/><Relationship Id="rId13" Type="http://schemas.openxmlformats.org/officeDocument/2006/relationships/image" Target="media/image7.wmf"/><Relationship Id="rId12" Type="http://schemas.openxmlformats.org/officeDocument/2006/relationships/oleObject" Target="embeddings/oleObject3.bin"/><Relationship Id="rId11" Type="http://schemas.openxmlformats.org/officeDocument/2006/relationships/image" Target="media/image6.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5882</Words>
  <Characters>6632</Characters>
  <Lines>1</Lines>
  <Paragraphs>1</Paragraphs>
  <TotalTime>123</TotalTime>
  <ScaleCrop>false</ScaleCrop>
  <LinksUpToDate>false</LinksUpToDate>
  <CharactersWithSpaces>6870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2018-12-04T02:55:00Z</dcterms:created>
  <dc:creator>Huang Chao</dc:creator>
  <cp:lastModifiedBy>良友冰室</cp:lastModifiedBy>
  <dcterms:modified xsi:type="dcterms:W3CDTF">2024-12-17T03:10:03Z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D8901950A5B8478FBD3A77427854B70D_12</vt:lpwstr>
  </property>
</Properties>
</file>