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6F466">
      <w:pPr>
        <w:bidi w:val="0"/>
        <w:ind w:left="0" w:leftChars="0" w:firstLine="0" w:firstLineChars="0"/>
      </w:pPr>
      <w:r>
        <w:rPr>
          <w:b/>
          <w:bCs/>
        </w:rPr>
        <w:t>1.</w:t>
      </w:r>
      <w:r>
        <w:t xml:space="preserve"> 可见光和红外辐射计分为（</w:t>
      </w:r>
      <w:r>
        <w:rPr>
          <w:rFonts w:hint="eastAsia"/>
          <w:b/>
          <w:bCs/>
          <w:color w:val="FF0000"/>
          <w:lang w:val="en-US" w:eastAsia="zh-CN"/>
        </w:rPr>
        <w:t>宽带辐射计</w:t>
      </w:r>
      <w:r>
        <w:t>）和（</w:t>
      </w:r>
      <w:r>
        <w:rPr>
          <w:rFonts w:hint="eastAsia"/>
          <w:b/>
          <w:bCs/>
          <w:color w:val="FF0000"/>
          <w:lang w:val="en-US" w:eastAsia="zh-CN"/>
        </w:rPr>
        <w:t>窄带辐射计</w:t>
      </w:r>
      <w:r>
        <w:t>）两种，其中，（</w:t>
      </w:r>
      <w:r>
        <w:rPr>
          <w:rFonts w:hint="eastAsia"/>
          <w:b/>
          <w:bCs/>
          <w:color w:val="FF0000"/>
          <w:lang w:val="en-US" w:eastAsia="zh-CN"/>
        </w:rPr>
        <w:t>宽带辐射计</w:t>
      </w:r>
      <w:r>
        <w:t>）一般装载在气象卫星和陆地卫星上，（</w:t>
      </w:r>
      <w:r>
        <w:rPr>
          <w:rFonts w:hint="eastAsia"/>
          <w:b/>
          <w:bCs/>
          <w:color w:val="FF0000"/>
          <w:lang w:val="en-US" w:eastAsia="zh-CN"/>
        </w:rPr>
        <w:t>窄带辐射计</w:t>
      </w:r>
      <w:r>
        <w:t>）一般装载在水色卫星或者水色兼气象卫星上。</w:t>
      </w:r>
    </w:p>
    <w:p w14:paraId="1DEDF47C">
      <w:pPr>
        <w:bidi w:val="0"/>
        <w:rPr>
          <w:rFonts w:hint="default"/>
          <w:lang w:val="en-US"/>
        </w:rPr>
      </w:pPr>
      <w:r>
        <w:rPr>
          <w:rFonts w:hint="eastAsia"/>
          <w:lang w:val="en-US" w:eastAsia="zh-CN"/>
        </w:rPr>
        <w:t>1108 P12~13</w:t>
      </w:r>
    </w:p>
    <w:p w14:paraId="0D1A5AAE">
      <w:pPr>
        <w:bidi w:val="0"/>
        <w:ind w:left="0" w:leftChars="0" w:firstLine="0" w:firstLineChars="0"/>
      </w:pPr>
      <w:r>
        <w:rPr>
          <w:b/>
          <w:bCs/>
        </w:rPr>
        <w:t>2.</w:t>
      </w:r>
      <w:r>
        <w:t xml:space="preserve"> 海洋遥感卫星分为（</w:t>
      </w:r>
      <w:r>
        <w:rPr>
          <w:rFonts w:hint="eastAsia"/>
          <w:b/>
          <w:bCs/>
          <w:color w:val="FF0000"/>
          <w:lang w:val="en-US" w:eastAsia="zh-CN"/>
        </w:rPr>
        <w:t>海洋水色卫星</w:t>
      </w:r>
      <w:r>
        <w:t>）、（</w:t>
      </w:r>
      <w:r>
        <w:rPr>
          <w:rFonts w:hint="eastAsia"/>
          <w:b/>
          <w:bCs/>
          <w:color w:val="FF0000"/>
          <w:lang w:val="en-US" w:eastAsia="zh-CN"/>
        </w:rPr>
        <w:t>海洋地形卫星</w:t>
      </w:r>
      <w:r>
        <w:t>）和（</w:t>
      </w:r>
      <w:r>
        <w:rPr>
          <w:rFonts w:hint="eastAsia"/>
          <w:b/>
          <w:bCs/>
          <w:color w:val="FF0000"/>
          <w:lang w:val="en-US" w:eastAsia="zh-CN"/>
        </w:rPr>
        <w:t>海洋动力环境卫星</w:t>
      </w:r>
      <w:r>
        <w:t>）等三大类，所应用的传感器从光谱范围上分主要有（</w:t>
      </w:r>
      <w:r>
        <w:rPr>
          <w:rFonts w:hint="eastAsia"/>
          <w:b/>
          <w:bCs/>
          <w:color w:val="FF0000"/>
          <w:lang w:val="en-US" w:eastAsia="zh-CN"/>
        </w:rPr>
        <w:t>光学传感器</w:t>
      </w:r>
      <w:r>
        <w:t>）和（</w:t>
      </w:r>
      <w:r>
        <w:rPr>
          <w:rFonts w:hint="eastAsia"/>
          <w:b/>
          <w:bCs/>
          <w:color w:val="FF0000"/>
          <w:lang w:val="en-US" w:eastAsia="zh-CN"/>
        </w:rPr>
        <w:t>微波传感器</w:t>
      </w:r>
      <w:r>
        <w:t>）等两大类。</w:t>
      </w:r>
    </w:p>
    <w:p w14:paraId="21FCCB94">
      <w:pPr>
        <w:bidi w:val="0"/>
        <w:rPr>
          <w:rFonts w:hint="default"/>
          <w:lang w:val="en-US"/>
        </w:rPr>
      </w:pPr>
      <w:r>
        <w:rPr>
          <w:rFonts w:hint="eastAsia"/>
          <w:lang w:val="en-US" w:eastAsia="zh-CN"/>
        </w:rPr>
        <w:t>1108 P23</w:t>
      </w:r>
    </w:p>
    <w:p w14:paraId="78A6936A">
      <w:pPr>
        <w:bidi w:val="0"/>
        <w:ind w:left="0" w:leftChars="0" w:firstLine="0" w:firstLineChars="0"/>
        <w:rPr>
          <w:rFonts w:hint="eastAsia" w:eastAsia="宋体"/>
          <w:lang w:val="en-US" w:eastAsia="zh-CN"/>
        </w:rPr>
      </w:pPr>
      <w:r>
        <w:rPr>
          <w:b/>
          <w:bCs/>
        </w:rPr>
        <w:t xml:space="preserve">3. </w:t>
      </w:r>
      <w:r>
        <w:t>根据Morel等提出的双向分类法，水体可分为Ⅰ类水体和Ⅱ类水体，Ⅰ类水体的光学特性主要由（</w:t>
      </w:r>
      <w:r>
        <w:rPr>
          <w:rFonts w:hint="eastAsia"/>
          <w:b/>
          <w:bCs/>
          <w:color w:val="FF0000"/>
          <w:lang w:val="en-US" w:eastAsia="zh-CN"/>
        </w:rPr>
        <w:t>浮游植物</w:t>
      </w:r>
      <w:r>
        <w:t>）及（</w:t>
      </w:r>
      <w:r>
        <w:rPr>
          <w:rFonts w:hint="eastAsia"/>
          <w:b/>
          <w:bCs/>
          <w:color w:val="FF0000"/>
          <w:lang w:val="en-US" w:eastAsia="zh-CN"/>
        </w:rPr>
        <w:t>浮游植物的分解物</w:t>
      </w:r>
      <w:r>
        <w:t>）决定，Ⅱ类水体的光学特性除了与（</w:t>
      </w:r>
      <w:r>
        <w:rPr>
          <w:rFonts w:hint="eastAsia"/>
        </w:rPr>
        <w:t>浮游植物及其分解物有关</w:t>
      </w:r>
      <w:r>
        <w:t>）有关外，还由（</w:t>
      </w:r>
      <w:r>
        <w:rPr>
          <w:rFonts w:hint="eastAsia"/>
          <w:b/>
          <w:bCs/>
          <w:color w:val="FF0000"/>
        </w:rPr>
        <w:t>悬浮物</w:t>
      </w:r>
      <w:r>
        <w:t>）和（</w:t>
      </w:r>
      <w:r>
        <w:rPr>
          <w:rFonts w:hint="eastAsia"/>
          <w:b/>
          <w:bCs/>
          <w:color w:val="FF0000"/>
        </w:rPr>
        <w:t>黄色物质</w:t>
      </w:r>
      <w:r>
        <w:t>）决定。</w:t>
      </w:r>
      <w:r>
        <w:rPr>
          <w:rFonts w:hint="eastAsia"/>
          <w:lang w:eastAsia="zh-CN"/>
        </w:rPr>
        <w:t>（</w:t>
      </w:r>
      <w:r>
        <w:rPr>
          <w:rFonts w:hint="eastAsia"/>
        </w:rPr>
        <w:t>其水色由水体的各成分以非线性方式来影响</w:t>
      </w:r>
      <w:r>
        <w:rPr>
          <w:rFonts w:hint="eastAsia"/>
          <w:lang w:eastAsia="zh-CN"/>
        </w:rPr>
        <w:t>）</w:t>
      </w:r>
    </w:p>
    <w:p w14:paraId="51C3E4D5">
      <w:pPr>
        <w:bidi w:val="0"/>
        <w:rPr>
          <w:rFonts w:hint="eastAsia"/>
        </w:rPr>
      </w:pPr>
      <w:r>
        <w:rPr>
          <w:rFonts w:hint="eastAsia"/>
          <w:lang w:val="en-US" w:eastAsia="zh-CN"/>
        </w:rPr>
        <w:t>1108 P31</w:t>
      </w:r>
    </w:p>
    <w:p w14:paraId="44A9A88E">
      <w:pPr>
        <w:bidi w:val="0"/>
        <w:ind w:left="0" w:leftChars="0" w:firstLine="0" w:firstLineChars="0"/>
        <w:rPr>
          <w:rFonts w:hint="eastAsia" w:eastAsia="宋体"/>
          <w:lang w:eastAsia="zh-CN"/>
        </w:rPr>
      </w:pPr>
      <w:r>
        <w:rPr>
          <w:b/>
          <w:bCs/>
        </w:rPr>
        <w:t xml:space="preserve">4. </w:t>
      </w:r>
      <w:r>
        <w:t>叶绿素在（</w:t>
      </w:r>
      <w:r>
        <w:rPr>
          <w:rFonts w:hint="eastAsia"/>
          <w:b/>
          <w:bCs/>
          <w:color w:val="FF0000"/>
        </w:rPr>
        <w:t>蓝光</w:t>
      </w:r>
      <w:r>
        <w:rPr>
          <w:rFonts w:hint="eastAsia"/>
          <w:b/>
          <w:bCs/>
          <w:color w:val="FF0000"/>
          <w:lang w:eastAsia="zh-CN"/>
        </w:rPr>
        <w:t>，</w:t>
      </w:r>
      <w:r>
        <w:rPr>
          <w:rFonts w:hint="eastAsia"/>
          <w:b/>
          <w:bCs/>
          <w:color w:val="FF0000"/>
        </w:rPr>
        <w:t>420-500nm</w:t>
      </w:r>
      <w:r>
        <w:t>）和（</w:t>
      </w:r>
      <w:r>
        <w:rPr>
          <w:rFonts w:hint="eastAsia"/>
          <w:b/>
          <w:bCs/>
          <w:color w:val="FF0000"/>
        </w:rPr>
        <w:t>红光</w:t>
      </w:r>
      <w:r>
        <w:rPr>
          <w:rFonts w:hint="eastAsia"/>
          <w:b/>
          <w:bCs/>
          <w:color w:val="FF0000"/>
          <w:lang w:eastAsia="zh-CN"/>
        </w:rPr>
        <w:t>，</w:t>
      </w:r>
      <w:r>
        <w:rPr>
          <w:rFonts w:hint="eastAsia"/>
          <w:b/>
          <w:bCs/>
          <w:color w:val="FF0000"/>
        </w:rPr>
        <w:t>600-700nm</w:t>
      </w:r>
      <w:r>
        <w:t>）波段具有两个强吸收峰，而在（</w:t>
      </w:r>
      <w:r>
        <w:rPr>
          <w:rFonts w:hint="eastAsia"/>
          <w:b/>
          <w:bCs/>
          <w:color w:val="FF0000"/>
        </w:rPr>
        <w:t>绿光</w:t>
      </w:r>
      <w:r>
        <w:rPr>
          <w:rFonts w:hint="eastAsia"/>
          <w:b/>
          <w:bCs/>
          <w:color w:val="FF0000"/>
          <w:lang w:eastAsia="zh-CN"/>
        </w:rPr>
        <w:t>，</w:t>
      </w:r>
      <w:r>
        <w:rPr>
          <w:rFonts w:hint="eastAsia"/>
          <w:b/>
          <w:bCs/>
          <w:color w:val="FF0000"/>
        </w:rPr>
        <w:t>550-570nm</w:t>
      </w:r>
      <w:r>
        <w:t>）波段吸收极弱，黄色物质在（</w:t>
      </w:r>
      <w:r>
        <w:rPr>
          <w:rFonts w:hint="eastAsia"/>
          <w:b/>
          <w:bCs/>
          <w:color w:val="FF0000"/>
        </w:rPr>
        <w:t>紫外</w:t>
      </w:r>
      <w:r>
        <w:t>）和（</w:t>
      </w:r>
      <w:r>
        <w:rPr>
          <w:rFonts w:hint="eastAsia"/>
          <w:b/>
          <w:bCs/>
          <w:color w:val="FF0000"/>
        </w:rPr>
        <w:t>蓝光</w:t>
      </w:r>
      <w:r>
        <w:t>）波段具有强烈的吸收。</w:t>
      </w:r>
      <w:r>
        <w:rPr>
          <w:rFonts w:hint="eastAsia"/>
          <w:lang w:eastAsia="zh-CN"/>
        </w:rPr>
        <w:t>（</w:t>
      </w:r>
      <w:r>
        <w:rPr>
          <w:rFonts w:hint="default" w:ascii="Times New Roman" w:hAnsi="Times New Roman" w:cs="Times New Roman"/>
          <w:lang w:val="en-US" w:eastAsia="zh-CN"/>
        </w:rPr>
        <w:t>α</w:t>
      </w:r>
      <w:r>
        <w:rPr>
          <w:rFonts w:hint="eastAsia"/>
          <w:vertAlign w:val="subscript"/>
          <w:lang w:val="en-US" w:eastAsia="zh-CN"/>
        </w:rPr>
        <w:t>B</w:t>
      </w:r>
      <w:r>
        <w:rPr>
          <w:rFonts w:hint="eastAsia"/>
          <w:lang w:val="en-US" w:eastAsia="zh-CN"/>
        </w:rPr>
        <w:t>&gt;</w:t>
      </w:r>
      <w:r>
        <w:rPr>
          <w:rFonts w:hint="default" w:ascii="Times New Roman" w:hAnsi="Times New Roman" w:cs="Times New Roman"/>
          <w:lang w:val="en-US" w:eastAsia="zh-CN"/>
        </w:rPr>
        <w:t>α</w:t>
      </w:r>
      <w:r>
        <w:rPr>
          <w:rFonts w:hint="eastAsia"/>
          <w:vertAlign w:val="subscript"/>
          <w:lang w:val="en-US" w:eastAsia="zh-CN"/>
        </w:rPr>
        <w:t>R</w:t>
      </w:r>
      <w:r>
        <w:rPr>
          <w:rFonts w:hint="eastAsia"/>
          <w:lang w:eastAsia="zh-CN"/>
        </w:rPr>
        <w:t>）</w:t>
      </w:r>
    </w:p>
    <w:p w14:paraId="0341C507">
      <w:pPr>
        <w:bidi w:val="0"/>
        <w:rPr>
          <w:rFonts w:hint="default" w:eastAsia="宋体"/>
          <w:lang w:val="en-US" w:eastAsia="zh-CN"/>
        </w:rPr>
      </w:pPr>
      <w:r>
        <w:rPr>
          <w:rFonts w:hint="eastAsia"/>
          <w:lang w:val="en-US" w:eastAsia="zh-CN"/>
        </w:rPr>
        <w:t>1108 P33、P35</w:t>
      </w:r>
    </w:p>
    <w:p w14:paraId="5E65B796">
      <w:pPr>
        <w:bidi w:val="0"/>
        <w:ind w:left="0" w:leftChars="0" w:firstLine="0" w:firstLineChars="0"/>
      </w:pPr>
      <w:r>
        <w:rPr>
          <w:b/>
          <w:bCs/>
        </w:rPr>
        <w:t xml:space="preserve">5. </w:t>
      </w:r>
      <w:r>
        <w:t>在世界海洋范围内，浮游植物所含碳(C)、氮 (N)和磷(P)三元素的质量平均比例是（</w:t>
      </w:r>
      <w:r>
        <w:rPr>
          <w:rFonts w:hint="eastAsia"/>
          <w:b/>
          <w:bCs/>
          <w:color w:val="FF0000"/>
        </w:rPr>
        <w:t>106</w:t>
      </w:r>
      <w:r>
        <w:rPr>
          <w:rFonts w:hint="eastAsia"/>
          <w:b/>
          <w:bCs/>
          <w:color w:val="FF0000"/>
          <w:lang w:val="en-US" w:eastAsia="zh-CN"/>
        </w:rPr>
        <w:t>:</w:t>
      </w:r>
      <w:r>
        <w:rPr>
          <w:rFonts w:hint="eastAsia"/>
          <w:b/>
          <w:bCs/>
          <w:color w:val="FF0000"/>
        </w:rPr>
        <w:t>16</w:t>
      </w:r>
      <w:r>
        <w:rPr>
          <w:rFonts w:hint="eastAsia"/>
          <w:b/>
          <w:bCs/>
          <w:color w:val="FF0000"/>
          <w:lang w:val="en-US" w:eastAsia="zh-CN"/>
        </w:rPr>
        <w:t>:</w:t>
      </w:r>
      <w:r>
        <w:rPr>
          <w:rFonts w:hint="eastAsia"/>
          <w:b/>
          <w:bCs/>
          <w:color w:val="FF0000"/>
        </w:rPr>
        <w:t>1</w:t>
      </w:r>
      <w:r>
        <w:t>）。</w:t>
      </w:r>
    </w:p>
    <w:p w14:paraId="2F9A2822">
      <w:pPr>
        <w:bidi w:val="0"/>
        <w:rPr>
          <w:rFonts w:hint="eastAsia"/>
        </w:rPr>
      </w:pPr>
      <w:r>
        <w:rPr>
          <w:rFonts w:hint="eastAsia"/>
          <w:lang w:val="en-US" w:eastAsia="zh-CN"/>
        </w:rPr>
        <w:t>1108 P36</w:t>
      </w:r>
    </w:p>
    <w:p w14:paraId="4A72D20D">
      <w:pPr>
        <w:bidi w:val="0"/>
        <w:ind w:left="0" w:leftChars="0" w:firstLine="0" w:firstLineChars="0"/>
      </w:pPr>
      <w:r>
        <w:rPr>
          <w:b/>
          <w:bCs/>
        </w:rPr>
        <w:t xml:space="preserve">6. </w:t>
      </w:r>
      <w:r>
        <w:t>碳同化率依赖海水中的（</w:t>
      </w:r>
      <w:r>
        <w:rPr>
          <w:rFonts w:hint="eastAsia"/>
          <w:b/>
          <w:bCs/>
          <w:color w:val="FF0000"/>
        </w:rPr>
        <w:t>营养盐</w:t>
      </w:r>
      <w:r>
        <w:t>）、（</w:t>
      </w:r>
      <w:r>
        <w:rPr>
          <w:rFonts w:hint="eastAsia"/>
          <w:b/>
          <w:bCs/>
          <w:color w:val="FF0000"/>
        </w:rPr>
        <w:t>水温</w:t>
      </w:r>
      <w:r>
        <w:t>）和（</w:t>
      </w:r>
      <w:r>
        <w:rPr>
          <w:rFonts w:hint="eastAsia"/>
          <w:b/>
          <w:bCs/>
          <w:color w:val="FF0000"/>
        </w:rPr>
        <w:t>光照度</w:t>
      </w:r>
      <w:r>
        <w:t>）。</w:t>
      </w:r>
    </w:p>
    <w:p w14:paraId="512C0521">
      <w:pPr>
        <w:bidi w:val="0"/>
        <w:rPr>
          <w:rFonts w:hint="eastAsia"/>
        </w:rPr>
      </w:pPr>
      <w:r>
        <w:rPr>
          <w:rFonts w:hint="eastAsia"/>
          <w:lang w:val="en-US" w:eastAsia="zh-CN"/>
        </w:rPr>
        <w:t>1108 P37</w:t>
      </w:r>
    </w:p>
    <w:p w14:paraId="65868F65">
      <w:pPr>
        <w:bidi w:val="0"/>
        <w:ind w:left="0" w:leftChars="0" w:firstLine="0" w:firstLineChars="0"/>
      </w:pPr>
      <w:r>
        <w:rPr>
          <w:b/>
          <w:bCs/>
        </w:rPr>
        <w:t xml:space="preserve">7. </w:t>
      </w:r>
      <w:r>
        <w:t>关于海洋中各种参数的适合观测频段，海表温度在（</w:t>
      </w:r>
      <w:r>
        <w:rPr>
          <w:rFonts w:hint="eastAsia"/>
          <w:b/>
          <w:bCs/>
          <w:color w:val="FF0000"/>
          <w:lang w:val="en-US" w:eastAsia="zh-CN"/>
        </w:rPr>
        <w:t>7</w:t>
      </w:r>
      <w:r>
        <w:t>）GHz附近，水汽影响在（</w:t>
      </w:r>
      <w:r>
        <w:rPr>
          <w:rFonts w:hint="eastAsia"/>
          <w:b/>
          <w:bCs/>
          <w:color w:val="FF0000"/>
          <w:lang w:val="en-US" w:eastAsia="zh-CN"/>
        </w:rPr>
        <w:t>21</w:t>
      </w:r>
      <w:r>
        <w:t>）GHz附近，粗糙度影响在（</w:t>
      </w:r>
      <w:r>
        <w:rPr>
          <w:rFonts w:hint="eastAsia"/>
          <w:b/>
          <w:bCs/>
          <w:color w:val="FF0000"/>
          <w:lang w:val="en-US" w:eastAsia="zh-CN"/>
        </w:rPr>
        <w:t>11</w:t>
      </w:r>
      <w:r>
        <w:t>）GHz附近，降雨影响在（</w:t>
      </w:r>
      <w:r>
        <w:rPr>
          <w:rFonts w:hint="eastAsia"/>
          <w:b/>
          <w:bCs/>
          <w:color w:val="FF0000"/>
          <w:lang w:val="en-US" w:eastAsia="zh-CN"/>
        </w:rPr>
        <w:t>18</w:t>
      </w:r>
      <w:r>
        <w:t>）GHz附近，云影响在（</w:t>
      </w:r>
      <w:r>
        <w:rPr>
          <w:rFonts w:hint="eastAsia"/>
          <w:b/>
          <w:bCs/>
          <w:color w:val="FF0000"/>
          <w:lang w:val="en-US" w:eastAsia="zh-CN"/>
        </w:rPr>
        <w:t>37</w:t>
      </w:r>
      <w:r>
        <w:t>）GHz附近。</w:t>
      </w:r>
    </w:p>
    <w:p w14:paraId="41FE8DF5">
      <w:pPr>
        <w:bidi w:val="0"/>
        <w:rPr>
          <w:rFonts w:hint="default" w:eastAsia="宋体"/>
          <w:lang w:val="en-US" w:eastAsia="zh-CN"/>
        </w:rPr>
      </w:pPr>
      <w:r>
        <w:rPr>
          <w:rFonts w:hint="eastAsia"/>
          <w:lang w:val="en-US" w:eastAsia="zh-CN"/>
        </w:rPr>
        <w:t>1122 P57</w:t>
      </w:r>
    </w:p>
    <w:p w14:paraId="6F402D5A">
      <w:pPr>
        <w:keepNext w:val="0"/>
        <w:keepLines w:val="0"/>
        <w:widowControl w:val="0"/>
        <w:suppressLineNumbers w:val="0"/>
        <w:spacing w:before="0" w:beforeAutospacing="0" w:after="0" w:afterAutospacing="0" w:line="360" w:lineRule="auto"/>
        <w:ind w:left="0" w:right="0" w:firstLine="422" w:firstLineChars="200"/>
        <w:jc w:val="both"/>
      </w:pPr>
      <w:r>
        <w:rPr>
          <w:b/>
          <w:bCs/>
        </w:rPr>
        <w:t xml:space="preserve">8. </w:t>
      </w:r>
      <w:r>
        <w:t>测量海水表面盐度的最佳波段是频率在（</w:t>
      </w:r>
      <w:r>
        <w:rPr>
          <w:rFonts w:hint="eastAsia"/>
          <w:b/>
          <w:bCs/>
          <w:color w:val="FF0000"/>
          <w:lang w:val="en-US" w:eastAsia="zh-CN"/>
        </w:rPr>
        <w:t>1.427GHz</w:t>
      </w:r>
      <w:r>
        <w:t>）的（</w:t>
      </w:r>
      <w:r>
        <w:rPr>
          <w:rFonts w:hint="eastAsia"/>
          <w:b/>
          <w:bCs/>
          <w:color w:val="FF0000"/>
          <w:lang w:val="en-US" w:eastAsia="zh-CN"/>
        </w:rPr>
        <w:t>L</w:t>
      </w:r>
      <w:r>
        <w:t>）波段，该波段对海表温度和风速的敏感度较低。同时可以采用（</w:t>
      </w:r>
      <w:r>
        <w:rPr>
          <w:rFonts w:hint="default" w:ascii="Times New Roman" w:hAnsi="Times New Roman" w:eastAsia="宋体" w:cs="Times New Roman"/>
          <w:b/>
          <w:bCs/>
          <w:color w:val="FF0000"/>
          <w:kern w:val="2"/>
          <w:sz w:val="21"/>
          <w:szCs w:val="21"/>
          <w:lang w:val="en-US" w:eastAsia="zh-CN" w:bidi="ar"/>
        </w:rPr>
        <w:t>C</w:t>
      </w:r>
      <w:r>
        <w:t>）波段和（</w:t>
      </w:r>
      <w:r>
        <w:rPr>
          <w:rFonts w:hint="default" w:ascii="Times New Roman" w:hAnsi="Times New Roman" w:eastAsia="宋体" w:cs="Times New Roman"/>
          <w:b/>
          <w:bCs/>
          <w:color w:val="FF0000"/>
          <w:kern w:val="2"/>
          <w:sz w:val="21"/>
          <w:szCs w:val="21"/>
          <w:lang w:val="en-US" w:eastAsia="zh-CN" w:bidi="ar"/>
        </w:rPr>
        <w:t>S</w:t>
      </w:r>
      <w:r>
        <w:t>）波段来修正海表盐度测量时海表温度和风速的影响。</w:t>
      </w:r>
    </w:p>
    <w:p w14:paraId="33FE5097">
      <w:pPr>
        <w:bidi w:val="0"/>
        <w:rPr>
          <w:rFonts w:hint="eastAsia"/>
          <w:lang w:val="en-US" w:eastAsia="zh-CN"/>
        </w:rPr>
      </w:pPr>
      <w:r>
        <w:rPr>
          <w:rFonts w:hint="eastAsia"/>
          <w:lang w:val="en-US" w:eastAsia="zh-CN"/>
        </w:rPr>
        <w:t>1129 P12、P13</w:t>
      </w:r>
    </w:p>
    <w:p w14:paraId="091A0EB1">
      <w:pPr>
        <w:bidi w:val="0"/>
        <w:rPr>
          <w:rFonts w:hint="eastAsia"/>
          <w:lang w:val="en-US" w:eastAsia="zh-CN"/>
        </w:rPr>
      </w:pPr>
    </w:p>
    <w:p w14:paraId="7C24E8C8">
      <w:pPr>
        <w:bidi w:val="0"/>
        <w:rPr>
          <w:rFonts w:hint="default"/>
          <w:lang w:val="en-US" w:eastAsia="zh-CN"/>
        </w:rPr>
      </w:pPr>
    </w:p>
    <w:p w14:paraId="31E7D55E">
      <w:pPr>
        <w:bidi w:val="0"/>
        <w:ind w:left="0" w:leftChars="0" w:firstLine="0" w:firstLineChars="0"/>
        <w:rPr>
          <w:b/>
          <w:bCs/>
        </w:rPr>
      </w:pPr>
      <w:r>
        <w:rPr>
          <w:b/>
          <w:bCs/>
        </w:rPr>
        <w:t>9. 何为水色？其三要素是指？</w:t>
      </w:r>
      <w:r>
        <w:rPr>
          <w:rFonts w:hint="eastAsia"/>
          <w:b/>
          <w:bCs/>
          <w:lang w:val="en-US" w:eastAsia="zh-CN"/>
        </w:rPr>
        <w:t>1108 P30</w:t>
      </w:r>
    </w:p>
    <w:p w14:paraId="66922882">
      <w:pPr>
        <w:bidi w:val="0"/>
        <w:rPr>
          <w:rFonts w:hint="eastAsia"/>
        </w:rPr>
      </w:pPr>
      <w:r>
        <w:rPr>
          <w:rFonts w:hint="eastAsia"/>
        </w:rPr>
        <w:t>所谓水色</w:t>
      </w:r>
      <w:r>
        <w:rPr>
          <w:rFonts w:hint="eastAsia"/>
          <w:lang w:eastAsia="zh-CN"/>
        </w:rPr>
        <w:t>（</w:t>
      </w:r>
      <w:r>
        <w:rPr>
          <w:rFonts w:hint="eastAsia"/>
        </w:rPr>
        <w:t>water color</w:t>
      </w:r>
      <w:r>
        <w:rPr>
          <w:rFonts w:hint="eastAsia"/>
          <w:lang w:eastAsia="zh-CN"/>
        </w:rPr>
        <w:t>）</w:t>
      </w:r>
      <w:r>
        <w:rPr>
          <w:rFonts w:hint="eastAsia"/>
        </w:rPr>
        <w:t>或海色</w:t>
      </w:r>
      <w:r>
        <w:rPr>
          <w:rFonts w:hint="eastAsia"/>
          <w:lang w:eastAsia="zh-CN"/>
        </w:rPr>
        <w:t>（</w:t>
      </w:r>
      <w:r>
        <w:rPr>
          <w:rFonts w:hint="eastAsia"/>
        </w:rPr>
        <w:t>ocean color</w:t>
      </w:r>
      <w:r>
        <w:rPr>
          <w:rFonts w:hint="eastAsia"/>
          <w:lang w:eastAsia="zh-CN"/>
        </w:rPr>
        <w:t>）</w:t>
      </w:r>
      <w:r>
        <w:rPr>
          <w:rFonts w:hint="eastAsia"/>
        </w:rPr>
        <w:t>是太阳光经水体或海水散射后，</w:t>
      </w:r>
      <w:r>
        <w:rPr>
          <w:rFonts w:hint="eastAsia"/>
          <w:b/>
          <w:bCs/>
        </w:rPr>
        <w:t>可见光和近红外辐射计</w:t>
      </w:r>
      <w:r>
        <w:rPr>
          <w:rFonts w:hint="eastAsia"/>
        </w:rPr>
        <w:t>监测到的散射光的颜色。</w:t>
      </w:r>
    </w:p>
    <w:p w14:paraId="0A6BFCE4">
      <w:pPr>
        <w:bidi w:val="0"/>
        <w:rPr>
          <w:rFonts w:hint="eastAsia"/>
        </w:rPr>
      </w:pPr>
      <w:r>
        <w:rPr>
          <w:rFonts w:hint="eastAsia"/>
          <w:lang w:val="en-US" w:eastAsia="zh-CN"/>
        </w:rPr>
        <w:t>水</w:t>
      </w:r>
      <w:r>
        <w:rPr>
          <w:rFonts w:hint="eastAsia"/>
        </w:rPr>
        <w:t>色三要素是指</w:t>
      </w:r>
      <w:r>
        <w:rPr>
          <w:rFonts w:hint="eastAsia"/>
          <w:b/>
          <w:bCs/>
        </w:rPr>
        <w:t>浮游植物叶绿素</w:t>
      </w:r>
      <w:r>
        <w:rPr>
          <w:rFonts w:hint="eastAsia"/>
        </w:rPr>
        <w:t>、</w:t>
      </w:r>
      <w:r>
        <w:rPr>
          <w:rFonts w:hint="eastAsia"/>
          <w:b/>
          <w:bCs/>
        </w:rPr>
        <w:t>无机悬浮物</w:t>
      </w:r>
      <w:r>
        <w:rPr>
          <w:rFonts w:hint="eastAsia"/>
        </w:rPr>
        <w:t>和</w:t>
      </w:r>
      <w:r>
        <w:rPr>
          <w:rFonts w:hint="eastAsia"/>
          <w:b/>
          <w:bCs/>
        </w:rPr>
        <w:t>有机黄色物质</w:t>
      </w:r>
      <w:r>
        <w:rPr>
          <w:rFonts w:hint="eastAsia"/>
        </w:rPr>
        <w:t>。水色三要素的种类和浓度决定了水体的颜色。</w:t>
      </w:r>
    </w:p>
    <w:p w14:paraId="7AC4293E">
      <w:pPr>
        <w:bidi w:val="0"/>
        <w:rPr>
          <w:rFonts w:hint="eastAsia"/>
        </w:rPr>
      </w:pPr>
    </w:p>
    <w:p w14:paraId="025E390C">
      <w:pPr>
        <w:bidi w:val="0"/>
        <w:ind w:left="0" w:leftChars="0" w:firstLine="0" w:firstLineChars="0"/>
        <w:rPr>
          <w:rFonts w:hint="default" w:eastAsia="宋体"/>
          <w:b/>
          <w:bCs/>
          <w:lang w:val="en-US" w:eastAsia="zh-CN"/>
        </w:rPr>
      </w:pPr>
      <w:r>
        <w:rPr>
          <w:b/>
          <w:bCs/>
        </w:rPr>
        <w:t>10. 何为表观光学量和固有光学量？</w:t>
      </w:r>
      <w:r>
        <w:rPr>
          <w:rFonts w:hint="eastAsia"/>
          <w:b/>
          <w:bCs/>
          <w:lang w:val="en-US" w:eastAsia="zh-CN"/>
        </w:rPr>
        <w:t>1108 P32</w:t>
      </w:r>
    </w:p>
    <w:p w14:paraId="7F1558E5">
      <w:pPr>
        <w:bidi w:val="0"/>
        <w:rPr>
          <w:rFonts w:hint="eastAsia"/>
        </w:rPr>
      </w:pPr>
      <w:r>
        <w:rPr>
          <w:rFonts w:hint="eastAsia"/>
        </w:rPr>
        <w:t>表观光学量由</w:t>
      </w:r>
      <w:r>
        <w:rPr>
          <w:rFonts w:hint="eastAsia"/>
          <w:b/>
          <w:bCs/>
        </w:rPr>
        <w:t>光场和水中的成分</w:t>
      </w:r>
      <w:r>
        <w:rPr>
          <w:rFonts w:hint="eastAsia"/>
        </w:rPr>
        <w:t>而定，包括向下辐照度、向上辐照度、离水辐亮度、遥感反射率、辐照度比等，以及这些量的衰减系数。</w:t>
      </w:r>
    </w:p>
    <w:p w14:paraId="25883B25">
      <w:pPr>
        <w:bidi w:val="0"/>
        <w:rPr>
          <w:rFonts w:hint="eastAsia"/>
        </w:rPr>
      </w:pPr>
      <w:r>
        <w:rPr>
          <w:rFonts w:hint="eastAsia"/>
        </w:rPr>
        <w:t>固有光学量与光场无关</w:t>
      </w:r>
      <w:r>
        <w:rPr>
          <w:rFonts w:hint="eastAsia"/>
          <w:lang w:eastAsia="zh-CN"/>
        </w:rPr>
        <w:t>（</w:t>
      </w:r>
      <w:r>
        <w:rPr>
          <w:rFonts w:hint="eastAsia"/>
          <w:b/>
          <w:bCs/>
          <w:lang w:val="en-US" w:eastAsia="zh-CN"/>
        </w:rPr>
        <w:t>不随外界光场变化</w:t>
      </w:r>
      <w:r>
        <w:rPr>
          <w:rFonts w:hint="eastAsia"/>
          <w:lang w:eastAsia="zh-CN"/>
        </w:rPr>
        <w:t>）</w:t>
      </w:r>
      <w:r>
        <w:rPr>
          <w:rFonts w:hint="eastAsia"/>
        </w:rPr>
        <w:t>，只与水中成分分布及其光学特性有关，直接反映媒介的散射和吸收特征，如：吸收系数；散射系数；体积散射函数等。</w:t>
      </w:r>
    </w:p>
    <w:p w14:paraId="5EF9598D">
      <w:pPr>
        <w:bidi w:val="0"/>
        <w:rPr>
          <w:rFonts w:hint="eastAsia"/>
        </w:rPr>
      </w:pPr>
    </w:p>
    <w:p w14:paraId="3C989059">
      <w:pPr>
        <w:bidi w:val="0"/>
        <w:ind w:left="0" w:leftChars="0" w:firstLine="0" w:firstLineChars="0"/>
        <w:rPr>
          <w:b/>
          <w:bCs/>
        </w:rPr>
      </w:pPr>
      <w:r>
        <w:rPr>
          <w:b/>
          <w:bCs/>
        </w:rPr>
        <w:t>11. 简述水色遥感的机理和过程。</w:t>
      </w:r>
      <w:r>
        <w:rPr>
          <w:rFonts w:hint="eastAsia"/>
          <w:b/>
          <w:bCs/>
          <w:lang w:val="en-US" w:eastAsia="zh-CN"/>
        </w:rPr>
        <w:t>1108 P42</w:t>
      </w:r>
    </w:p>
    <w:p w14:paraId="4A035F9B">
      <w:pPr>
        <w:bidi w:val="0"/>
        <w:rPr>
          <w:rFonts w:hint="eastAsia"/>
          <w:lang w:val="en-US" w:eastAsia="zh-CN"/>
        </w:rPr>
      </w:pPr>
      <w:r>
        <w:rPr>
          <w:rFonts w:hint="eastAsia"/>
          <w:lang w:val="en-US" w:eastAsia="zh-CN"/>
        </w:rPr>
        <w:t>海洋水色遥感是基于传感器接收的离水辐射（透射入水的辐射经过水体反射离开水面的辐射）所进行的。</w:t>
      </w:r>
    </w:p>
    <w:p w14:paraId="0243519A">
      <w:pPr>
        <w:bidi w:val="0"/>
        <w:rPr>
          <w:rFonts w:hint="eastAsia"/>
          <w:lang w:val="en-US" w:eastAsia="zh-CN"/>
        </w:rPr>
      </w:pPr>
      <w:r>
        <w:rPr>
          <w:rFonts w:hint="eastAsia"/>
          <w:b/>
          <w:bCs/>
          <w:lang w:val="en-US" w:eastAsia="zh-CN"/>
        </w:rPr>
        <w:t>水色遥感的机理：</w:t>
      </w:r>
      <w:r>
        <w:rPr>
          <w:rFonts w:hint="eastAsia"/>
          <w:lang w:val="en-US" w:eastAsia="zh-CN"/>
        </w:rPr>
        <w:t>水体中</w:t>
      </w:r>
      <w:r>
        <w:rPr>
          <w:rFonts w:hint="eastAsia"/>
          <w:b/>
          <w:bCs/>
          <w:lang w:val="en-US" w:eastAsia="zh-CN"/>
        </w:rPr>
        <w:t>各个重要成分浓度</w:t>
      </w:r>
      <w:r>
        <w:rPr>
          <w:rFonts w:hint="eastAsia"/>
          <w:lang w:val="en-US" w:eastAsia="zh-CN"/>
        </w:rPr>
        <w:t>的变化，势必会引起水体</w:t>
      </w:r>
      <w:r>
        <w:rPr>
          <w:rFonts w:hint="eastAsia"/>
          <w:b/>
          <w:bCs/>
          <w:lang w:val="en-US" w:eastAsia="zh-CN"/>
        </w:rPr>
        <w:t>光学性质</w:t>
      </w:r>
      <w:r>
        <w:rPr>
          <w:rFonts w:hint="eastAsia"/>
          <w:lang w:val="en-US" w:eastAsia="zh-CN"/>
        </w:rPr>
        <w:t>的变化，表现为</w:t>
      </w:r>
      <w:r>
        <w:rPr>
          <w:rFonts w:hint="eastAsia"/>
          <w:b/>
          <w:bCs/>
          <w:lang w:val="en-US" w:eastAsia="zh-CN"/>
        </w:rPr>
        <w:t>水体吸收</w:t>
      </w:r>
      <w:r>
        <w:rPr>
          <w:rFonts w:hint="eastAsia"/>
          <w:b w:val="0"/>
          <w:bCs w:val="0"/>
          <w:lang w:val="en-US" w:eastAsia="zh-CN"/>
        </w:rPr>
        <w:t>和</w:t>
      </w:r>
      <w:r>
        <w:rPr>
          <w:rFonts w:hint="eastAsia"/>
          <w:b/>
          <w:bCs/>
          <w:lang w:val="en-US" w:eastAsia="zh-CN"/>
        </w:rPr>
        <w:t>散射信号</w:t>
      </w:r>
      <w:r>
        <w:rPr>
          <w:rFonts w:hint="eastAsia"/>
          <w:lang w:val="en-US" w:eastAsia="zh-CN"/>
        </w:rPr>
        <w:t>的变化，综合起来即为</w:t>
      </w:r>
      <w:r>
        <w:rPr>
          <w:rFonts w:hint="eastAsia"/>
          <w:b/>
          <w:bCs/>
          <w:lang w:val="en-US" w:eastAsia="zh-CN"/>
        </w:rPr>
        <w:t>水体离水辐射度</w:t>
      </w:r>
      <w:r>
        <w:rPr>
          <w:rFonts w:hint="eastAsia"/>
          <w:lang w:val="en-US" w:eastAsia="zh-CN"/>
        </w:rPr>
        <w:t>变化。通过传感器接收信号发生变化，可以反演出水体各重要成分的含量。</w:t>
      </w:r>
    </w:p>
    <w:p w14:paraId="42BEA425">
      <w:pPr>
        <w:bidi w:val="0"/>
        <w:rPr>
          <w:rFonts w:hint="eastAsia"/>
          <w:lang w:val="en-US" w:eastAsia="zh-CN"/>
        </w:rPr>
      </w:pPr>
      <w:r>
        <w:rPr>
          <w:rFonts w:hint="eastAsia"/>
          <w:b/>
          <w:bCs/>
          <w:lang w:val="en-US" w:eastAsia="zh-CN"/>
        </w:rPr>
        <w:t>水色遥感的过程：</w:t>
      </w:r>
      <w:r>
        <w:rPr>
          <w:rFonts w:hint="eastAsia"/>
          <w:lang w:val="en-US" w:eastAsia="zh-CN"/>
        </w:rPr>
        <w:t>根据卫星接收的总辐射信号值，通过</w:t>
      </w:r>
      <w:r>
        <w:rPr>
          <w:rFonts w:hint="eastAsia"/>
          <w:b/>
          <w:bCs/>
          <w:lang w:val="en-US" w:eastAsia="zh-CN"/>
        </w:rPr>
        <w:t>大气校正</w:t>
      </w:r>
      <w:r>
        <w:rPr>
          <w:rFonts w:hint="eastAsia"/>
          <w:lang w:val="en-US" w:eastAsia="zh-CN"/>
        </w:rPr>
        <w:t>除去大气干扰信号的影响，得到离水辐亮度值，再根据各成分浓度与水体</w:t>
      </w:r>
      <w:r>
        <w:rPr>
          <w:rFonts w:hint="eastAsia"/>
          <w:b/>
          <w:bCs/>
          <w:lang w:val="en-US" w:eastAsia="zh-CN"/>
        </w:rPr>
        <w:t>光学性质</w:t>
      </w:r>
      <w:r>
        <w:rPr>
          <w:rFonts w:hint="eastAsia"/>
          <w:lang w:val="en-US" w:eastAsia="zh-CN"/>
        </w:rPr>
        <w:t>之间的关系，通过一系列的</w:t>
      </w:r>
      <w:r>
        <w:rPr>
          <w:rFonts w:hint="eastAsia"/>
          <w:b/>
          <w:bCs/>
          <w:lang w:val="en-US" w:eastAsia="zh-CN"/>
        </w:rPr>
        <w:t>反演</w:t>
      </w:r>
      <w:r>
        <w:rPr>
          <w:rFonts w:hint="eastAsia"/>
          <w:lang w:val="en-US" w:eastAsia="zh-CN"/>
        </w:rPr>
        <w:t>算法，得到水中各成分的浓度。</w:t>
      </w:r>
    </w:p>
    <w:p w14:paraId="220C9E0B">
      <w:pPr>
        <w:bidi w:val="0"/>
        <w:rPr>
          <w:rFonts w:hint="eastAsia"/>
          <w:lang w:val="en-US" w:eastAsia="zh-CN"/>
        </w:rPr>
      </w:pPr>
      <w:r>
        <w:rPr>
          <w:rFonts w:hint="eastAsia"/>
          <w:lang w:val="en-US" w:eastAsia="zh-CN"/>
        </w:rPr>
        <w:t>水中各重要成分浓度变化→水体吸收和散射光学性质变化→离水辐射度变化→传感器接收信号发生变化。</w:t>
      </w:r>
    </w:p>
    <w:p w14:paraId="0618E318">
      <w:pPr>
        <w:bidi w:val="0"/>
        <w:rPr>
          <w:rFonts w:hint="default"/>
          <w:lang w:val="en-US" w:eastAsia="zh-CN"/>
        </w:rPr>
      </w:pPr>
    </w:p>
    <w:p w14:paraId="499564F9">
      <w:pPr>
        <w:bidi w:val="0"/>
        <w:ind w:left="0" w:leftChars="0" w:firstLine="0" w:firstLineChars="0"/>
        <w:rPr>
          <w:rFonts w:hint="default" w:eastAsia="宋体"/>
          <w:b/>
          <w:bCs/>
          <w:lang w:val="en-US" w:eastAsia="zh-CN"/>
        </w:rPr>
      </w:pPr>
      <w:r>
        <w:rPr>
          <w:b/>
          <w:bCs/>
        </w:rPr>
        <w:t>12. 简述海表面温度的重要性及与之有关的海洋现象？</w:t>
      </w:r>
      <w:r>
        <w:rPr>
          <w:rFonts w:hint="eastAsia"/>
          <w:b/>
          <w:bCs/>
          <w:lang w:val="en-US" w:eastAsia="zh-CN"/>
        </w:rPr>
        <w:t>1122 P5</w:t>
      </w:r>
    </w:p>
    <w:p w14:paraId="5D2B4D1F">
      <w:pPr>
        <w:bidi w:val="0"/>
        <w:rPr>
          <w:rFonts w:hint="eastAsia"/>
          <w:lang w:eastAsia="zh-CN"/>
        </w:rPr>
      </w:pPr>
      <w:r>
        <w:rPr>
          <w:b/>
          <w:bCs/>
        </w:rPr>
        <w:t>海表面温度的重要性</w:t>
      </w:r>
      <w:r>
        <w:rPr>
          <w:rFonts w:hint="eastAsia"/>
          <w:b/>
          <w:bCs/>
          <w:lang w:eastAsia="zh-CN"/>
        </w:rPr>
        <w:t>：</w:t>
      </w:r>
      <w:r>
        <w:rPr>
          <w:rFonts w:hint="eastAsia"/>
          <w:lang w:eastAsia="zh-CN"/>
        </w:rPr>
        <w:t>海洋表面温度是</w:t>
      </w:r>
      <w:r>
        <w:rPr>
          <w:rFonts w:hint="eastAsia"/>
          <w:b/>
          <w:bCs/>
          <w:lang w:eastAsia="zh-CN"/>
        </w:rPr>
        <w:t>重要的海洋环境参数</w:t>
      </w:r>
      <w:r>
        <w:rPr>
          <w:rFonts w:hint="eastAsia"/>
          <w:lang w:eastAsia="zh-CN"/>
        </w:rPr>
        <w:t>，是海洋环境非常重要的基础信息。</w:t>
      </w:r>
      <w:r>
        <w:rPr>
          <w:rFonts w:hint="eastAsia"/>
          <w:b/>
          <w:bCs/>
          <w:lang w:eastAsia="zh-CN"/>
        </w:rPr>
        <w:t>几乎所有的海洋动力过程</w:t>
      </w:r>
      <w:r>
        <w:rPr>
          <w:rFonts w:hint="eastAsia"/>
          <w:lang w:eastAsia="zh-CN"/>
        </w:rPr>
        <w:t>都直接或间接与之有关。</w:t>
      </w:r>
    </w:p>
    <w:p w14:paraId="59A12419">
      <w:pPr>
        <w:bidi w:val="0"/>
        <w:rPr>
          <w:rFonts w:hint="eastAsia"/>
          <w:lang w:val="en-US" w:eastAsia="zh-CN"/>
        </w:rPr>
      </w:pPr>
      <w:r>
        <w:rPr>
          <w:b/>
          <w:bCs/>
        </w:rPr>
        <w:t>之有关的海洋现象</w:t>
      </w:r>
      <w:r>
        <w:rPr>
          <w:rFonts w:hint="eastAsia"/>
          <w:b/>
          <w:bCs/>
          <w:lang w:eastAsia="zh-CN"/>
        </w:rPr>
        <w:t>：</w:t>
      </w:r>
      <w:r>
        <w:rPr>
          <w:rFonts w:hint="eastAsia"/>
          <w:lang w:val="en-US" w:eastAsia="zh-CN"/>
        </w:rPr>
        <w:t>厄尔尼诺、热带气旋等相关；全球海面温度变化；海洋锋面、流系；上升流；海洋生物种群活动。</w:t>
      </w:r>
    </w:p>
    <w:p w14:paraId="40BA631C">
      <w:pPr>
        <w:bidi w:val="0"/>
        <w:rPr>
          <w:rFonts w:hint="eastAsia"/>
          <w:lang w:val="en-US" w:eastAsia="zh-CN"/>
        </w:rPr>
      </w:pPr>
    </w:p>
    <w:p w14:paraId="07B1B2F3">
      <w:pPr>
        <w:bidi w:val="0"/>
        <w:ind w:left="0" w:leftChars="0" w:firstLine="0" w:firstLineChars="0"/>
        <w:rPr>
          <w:rFonts w:hint="default"/>
          <w:b/>
          <w:bCs/>
          <w:lang w:val="en-US"/>
        </w:rPr>
      </w:pPr>
      <w:r>
        <w:rPr>
          <w:b/>
          <w:bCs/>
        </w:rPr>
        <w:t>13. 海表面温度遥感分为哪两大类测量方法？简述这两类测量方法的优缺点？</w:t>
      </w:r>
      <w:r>
        <w:rPr>
          <w:rFonts w:hint="eastAsia"/>
          <w:b/>
          <w:bCs/>
          <w:lang w:val="en-US" w:eastAsia="zh-CN"/>
        </w:rPr>
        <w:t>1122 P13</w:t>
      </w:r>
    </w:p>
    <w:p w14:paraId="5267CB80">
      <w:pPr>
        <w:bidi w:val="0"/>
        <w:rPr>
          <w:rFonts w:hint="eastAsia"/>
          <w:b w:val="0"/>
          <w:bCs w:val="0"/>
          <w:lang w:eastAsia="zh-CN"/>
        </w:rPr>
      </w:pPr>
      <w:r>
        <w:rPr>
          <w:b w:val="0"/>
          <w:bCs w:val="0"/>
        </w:rPr>
        <w:t>海表面温度遥感分为</w:t>
      </w:r>
      <w:r>
        <w:rPr>
          <w:rFonts w:hint="eastAsia"/>
          <w:b/>
          <w:bCs/>
        </w:rPr>
        <w:t>热红外波段测量</w:t>
      </w:r>
      <w:r>
        <w:rPr>
          <w:rFonts w:hint="eastAsia"/>
          <w:b w:val="0"/>
          <w:bCs w:val="0"/>
        </w:rPr>
        <w:t>和</w:t>
      </w:r>
      <w:r>
        <w:rPr>
          <w:rFonts w:hint="eastAsia"/>
          <w:b/>
          <w:bCs/>
        </w:rPr>
        <w:t>被动微波波段测量</w:t>
      </w:r>
      <w:r>
        <w:rPr>
          <w:rFonts w:hint="eastAsia"/>
          <w:b w:val="0"/>
          <w:bCs w:val="0"/>
          <w:lang w:eastAsia="zh-CN"/>
        </w:rPr>
        <w:t>。</w:t>
      </w:r>
    </w:p>
    <w:tbl>
      <w:tblPr>
        <w:tblStyle w:val="6"/>
        <w:tblW w:w="52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56"/>
        <w:gridCol w:w="3867"/>
        <w:gridCol w:w="4475"/>
      </w:tblGrid>
      <w:tr w14:paraId="0EED0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3" w:hRule="atLeast"/>
        </w:trPr>
        <w:tc>
          <w:tcPr>
            <w:tcW w:w="416" w:type="pct"/>
            <w:tcBorders>
              <w:top w:val="single" w:color="000000" w:sz="4" w:space="0"/>
              <w:left w:val="single" w:color="000000" w:sz="4" w:space="0"/>
              <w:bottom w:val="single" w:color="000000" w:sz="4" w:space="0"/>
              <w:right w:val="single" w:color="000000" w:sz="4" w:space="0"/>
              <w:tl2br w:val="nil"/>
            </w:tcBorders>
            <w:shd w:val="clear" w:color="auto" w:fill="FFFFFF"/>
            <w:tcMar>
              <w:top w:w="72" w:type="dxa"/>
              <w:left w:w="144" w:type="dxa"/>
              <w:bottom w:w="72" w:type="dxa"/>
              <w:right w:w="144" w:type="dxa"/>
            </w:tcMar>
            <w:vAlign w:val="center"/>
          </w:tcPr>
          <w:p w14:paraId="62D342C2">
            <w:pPr>
              <w:bidi w:val="0"/>
              <w:spacing w:line="240" w:lineRule="auto"/>
              <w:ind w:firstLine="0" w:firstLineChars="0"/>
              <w:jc w:val="center"/>
              <w:rPr>
                <w:b w:val="0"/>
                <w:color w:val="000000"/>
                <w:sz w:val="20"/>
                <w:szCs w:val="20"/>
              </w:rPr>
            </w:pPr>
            <w:r>
              <w:rPr>
                <w:b w:val="0"/>
                <w:color w:val="000000"/>
                <w:sz w:val="20"/>
                <w:szCs w:val="20"/>
              </w:rPr>
              <w:t>方法</w:t>
            </w:r>
          </w:p>
        </w:tc>
        <w:tc>
          <w:tcPr>
            <w:tcW w:w="2124"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106AF367">
            <w:pPr>
              <w:bidi w:val="0"/>
              <w:spacing w:line="240" w:lineRule="auto"/>
              <w:ind w:firstLine="0" w:firstLineChars="0"/>
              <w:jc w:val="center"/>
              <w:rPr>
                <w:b w:val="0"/>
                <w:color w:val="000000"/>
                <w:sz w:val="20"/>
                <w:szCs w:val="20"/>
              </w:rPr>
            </w:pPr>
            <w:r>
              <w:rPr>
                <w:rFonts w:hint="eastAsia"/>
                <w:b w:val="0"/>
                <w:color w:val="000000"/>
                <w:sz w:val="20"/>
                <w:szCs w:val="20"/>
              </w:rPr>
              <w:t>热红外辐射计测量</w:t>
            </w:r>
          </w:p>
        </w:tc>
        <w:tc>
          <w:tcPr>
            <w:tcW w:w="2458"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3493ED2B">
            <w:pPr>
              <w:bidi w:val="0"/>
              <w:spacing w:line="240" w:lineRule="auto"/>
              <w:ind w:firstLine="0" w:firstLineChars="0"/>
              <w:jc w:val="center"/>
              <w:rPr>
                <w:b w:val="0"/>
                <w:color w:val="000000"/>
                <w:sz w:val="20"/>
                <w:szCs w:val="20"/>
              </w:rPr>
            </w:pPr>
            <w:r>
              <w:rPr>
                <w:rFonts w:hint="eastAsia"/>
                <w:b w:val="0"/>
                <w:color w:val="000000"/>
                <w:sz w:val="20"/>
                <w:szCs w:val="20"/>
              </w:rPr>
              <w:t>微波辐射计测量</w:t>
            </w:r>
          </w:p>
        </w:tc>
      </w:tr>
      <w:tr w14:paraId="27D13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3" w:hRule="atLeast"/>
        </w:trPr>
        <w:tc>
          <w:tcPr>
            <w:tcW w:w="416" w:type="pct"/>
            <w:tcBorders>
              <w:top w:val="single" w:color="000000" w:sz="4" w:space="0"/>
              <w:left w:val="single" w:color="000000" w:sz="4" w:space="0"/>
              <w:bottom w:val="single" w:color="000000" w:sz="4" w:space="0"/>
              <w:right w:val="single" w:color="000000" w:sz="4" w:space="0"/>
            </w:tcBorders>
            <w:shd w:val="clear" w:color="auto" w:fill="FFFFFF"/>
            <w:tcMar>
              <w:top w:w="74" w:type="dxa"/>
              <w:left w:w="142" w:type="dxa"/>
              <w:bottom w:w="74" w:type="dxa"/>
              <w:right w:w="142" w:type="dxa"/>
            </w:tcMar>
            <w:vAlign w:val="center"/>
          </w:tcPr>
          <w:p w14:paraId="73BC6D4A">
            <w:pPr>
              <w:bidi w:val="0"/>
              <w:spacing w:line="240" w:lineRule="auto"/>
              <w:ind w:firstLine="0" w:firstLineChars="0"/>
              <w:jc w:val="center"/>
              <w:rPr>
                <w:b w:val="0"/>
                <w:color w:val="000000"/>
                <w:sz w:val="20"/>
                <w:szCs w:val="20"/>
              </w:rPr>
            </w:pPr>
            <w:r>
              <w:rPr>
                <w:rFonts w:hint="eastAsia"/>
                <w:b w:val="0"/>
                <w:color w:val="000000"/>
                <w:sz w:val="20"/>
                <w:szCs w:val="20"/>
              </w:rPr>
              <w:t>优点</w:t>
            </w:r>
          </w:p>
        </w:tc>
        <w:tc>
          <w:tcPr>
            <w:tcW w:w="2124"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6CF6A884">
            <w:pPr>
              <w:bidi w:val="0"/>
              <w:spacing w:line="240" w:lineRule="auto"/>
              <w:ind w:firstLine="0" w:firstLineChars="0"/>
              <w:jc w:val="center"/>
              <w:rPr>
                <w:b w:val="0"/>
                <w:color w:val="000000"/>
                <w:sz w:val="15"/>
                <w:szCs w:val="15"/>
              </w:rPr>
            </w:pPr>
            <w:r>
              <w:rPr>
                <w:rFonts w:hint="eastAsia"/>
                <w:b w:val="0"/>
                <w:color w:val="000000"/>
                <w:sz w:val="15"/>
                <w:szCs w:val="15"/>
              </w:rPr>
              <w:t>分辨率较高，技术发展成熟（已达业务化运行程度）；</w:t>
            </w:r>
          </w:p>
        </w:tc>
        <w:tc>
          <w:tcPr>
            <w:tcW w:w="2458"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27A0412B">
            <w:pPr>
              <w:bidi w:val="0"/>
              <w:spacing w:line="240" w:lineRule="auto"/>
              <w:ind w:firstLine="0" w:firstLineChars="0"/>
              <w:jc w:val="center"/>
              <w:rPr>
                <w:b w:val="0"/>
                <w:color w:val="000000"/>
                <w:sz w:val="15"/>
                <w:szCs w:val="15"/>
              </w:rPr>
            </w:pPr>
            <w:r>
              <w:rPr>
                <w:rFonts w:hint="eastAsia"/>
                <w:b w:val="0"/>
                <w:color w:val="000000"/>
                <w:sz w:val="15"/>
                <w:szCs w:val="15"/>
              </w:rPr>
              <w:t>可全天时、全天候进行，受云影响较小，大气校正相对容易；</w:t>
            </w:r>
          </w:p>
        </w:tc>
      </w:tr>
      <w:tr w14:paraId="4DC7B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3" w:hRule="atLeast"/>
        </w:trPr>
        <w:tc>
          <w:tcPr>
            <w:tcW w:w="416" w:type="pct"/>
            <w:tcBorders>
              <w:top w:val="single" w:color="000000" w:sz="4" w:space="0"/>
              <w:left w:val="single" w:color="000000" w:sz="4" w:space="0"/>
              <w:bottom w:val="single" w:color="000000" w:sz="4" w:space="0"/>
              <w:right w:val="single" w:color="000000" w:sz="4" w:space="0"/>
            </w:tcBorders>
            <w:shd w:val="clear" w:color="auto" w:fill="FFFFFF"/>
            <w:tcMar>
              <w:top w:w="74" w:type="dxa"/>
              <w:left w:w="142" w:type="dxa"/>
              <w:bottom w:w="74" w:type="dxa"/>
              <w:right w:w="142" w:type="dxa"/>
            </w:tcMar>
            <w:vAlign w:val="center"/>
          </w:tcPr>
          <w:p w14:paraId="482B8382">
            <w:pPr>
              <w:bidi w:val="0"/>
              <w:spacing w:line="240" w:lineRule="auto"/>
              <w:ind w:firstLine="0" w:firstLineChars="0"/>
              <w:jc w:val="center"/>
              <w:rPr>
                <w:b w:val="0"/>
                <w:color w:val="000000"/>
                <w:sz w:val="20"/>
                <w:szCs w:val="20"/>
              </w:rPr>
            </w:pPr>
            <w:r>
              <w:rPr>
                <w:rFonts w:hint="eastAsia"/>
                <w:b w:val="0"/>
                <w:color w:val="000000"/>
                <w:sz w:val="20"/>
                <w:szCs w:val="20"/>
              </w:rPr>
              <w:t>缺点</w:t>
            </w:r>
          </w:p>
        </w:tc>
        <w:tc>
          <w:tcPr>
            <w:tcW w:w="2124"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62AEC799">
            <w:pPr>
              <w:bidi w:val="0"/>
              <w:spacing w:line="240" w:lineRule="auto"/>
              <w:ind w:firstLine="0" w:firstLineChars="0"/>
              <w:jc w:val="center"/>
              <w:rPr>
                <w:b w:val="0"/>
                <w:color w:val="000000"/>
                <w:sz w:val="15"/>
                <w:szCs w:val="15"/>
              </w:rPr>
            </w:pPr>
            <w:r>
              <w:rPr>
                <w:rFonts w:hint="eastAsia"/>
                <w:b w:val="0"/>
                <w:color w:val="000000"/>
                <w:sz w:val="15"/>
                <w:szCs w:val="15"/>
              </w:rPr>
              <w:t>在无云区进行，需进行精确的大气校正；</w:t>
            </w:r>
          </w:p>
        </w:tc>
        <w:tc>
          <w:tcPr>
            <w:tcW w:w="2458"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241B187C">
            <w:pPr>
              <w:bidi w:val="0"/>
              <w:spacing w:line="240" w:lineRule="auto"/>
              <w:ind w:firstLine="0" w:firstLineChars="0"/>
              <w:jc w:val="center"/>
              <w:rPr>
                <w:b w:val="0"/>
                <w:color w:val="000000"/>
                <w:sz w:val="15"/>
                <w:szCs w:val="15"/>
              </w:rPr>
            </w:pPr>
            <w:r>
              <w:rPr>
                <w:rFonts w:hint="eastAsia"/>
                <w:b w:val="0"/>
                <w:color w:val="000000"/>
                <w:sz w:val="15"/>
                <w:szCs w:val="15"/>
              </w:rPr>
              <w:t>测量精度与分辨率较低，对表面粗糙度和降雨敏感。</w:t>
            </w:r>
          </w:p>
        </w:tc>
      </w:tr>
    </w:tbl>
    <w:p w14:paraId="2EAA73FD">
      <w:pPr>
        <w:bidi w:val="0"/>
        <w:ind w:left="0" w:leftChars="0" w:firstLine="0" w:firstLineChars="0"/>
        <w:rPr>
          <w:rFonts w:hint="eastAsia"/>
          <w:b w:val="0"/>
          <w:bCs w:val="0"/>
          <w:lang w:eastAsia="zh-CN"/>
        </w:rPr>
      </w:pPr>
    </w:p>
    <w:p w14:paraId="205258DD">
      <w:pPr>
        <w:bidi w:val="0"/>
        <w:ind w:left="0" w:leftChars="0" w:firstLine="0" w:firstLineChars="0"/>
        <w:rPr>
          <w:rFonts w:hint="default"/>
          <w:b/>
          <w:bCs/>
          <w:lang w:val="en-US"/>
        </w:rPr>
      </w:pPr>
      <w:r>
        <w:rPr>
          <w:b/>
          <w:bCs/>
        </w:rPr>
        <w:t>14. 何为亮温？简述亮温与实际温度的区别与联系？</w:t>
      </w:r>
      <w:r>
        <w:rPr>
          <w:rFonts w:hint="eastAsia"/>
          <w:b/>
          <w:bCs/>
          <w:lang w:val="en-US" w:eastAsia="zh-CN"/>
        </w:rPr>
        <w:t>1122 P15</w:t>
      </w:r>
    </w:p>
    <w:p w14:paraId="260F15DD">
      <w:pPr>
        <w:bidi w:val="0"/>
        <w:rPr>
          <w:rFonts w:hint="eastAsia"/>
        </w:rPr>
      </w:pPr>
      <w:r>
        <w:rPr>
          <w:rFonts w:hint="eastAsia"/>
        </w:rPr>
        <w:t>亮度温度</w:t>
      </w:r>
      <w:r>
        <w:rPr>
          <w:rFonts w:hint="eastAsia"/>
          <w:lang w:eastAsia="zh-CN"/>
        </w:rPr>
        <w:t>（</w:t>
      </w:r>
      <w:r>
        <w:rPr>
          <w:rFonts w:hint="eastAsia"/>
        </w:rPr>
        <w:t>BT: Brightness Temperature</w:t>
      </w:r>
      <w:r>
        <w:rPr>
          <w:rFonts w:hint="eastAsia"/>
          <w:lang w:eastAsia="zh-CN"/>
        </w:rPr>
        <w:t>）</w:t>
      </w:r>
      <w:r>
        <w:rPr>
          <w:rFonts w:hint="eastAsia"/>
        </w:rPr>
        <w:t>是一种表达物体在特定频率的辐射强度的假想温度。当一物体和一</w:t>
      </w:r>
      <w:r>
        <w:rPr>
          <w:rFonts w:hint="eastAsia"/>
          <w:b/>
          <w:bCs/>
        </w:rPr>
        <w:t>与周围环境达成热平衡的黑体</w:t>
      </w:r>
      <w:r>
        <w:rPr>
          <w:rFonts w:hint="eastAsia"/>
        </w:rPr>
        <w:t>在</w:t>
      </w:r>
      <w:r>
        <w:rPr>
          <w:rFonts w:hint="eastAsia"/>
          <w:b/>
          <w:bCs/>
        </w:rPr>
        <w:t>特定频率辐射出同强度电磁波</w:t>
      </w:r>
      <w:r>
        <w:rPr>
          <w:rFonts w:hint="eastAsia"/>
        </w:rPr>
        <w:t>时，黑体的绝对温度即为物体在该频率下的亮度温度。</w:t>
      </w:r>
    </w:p>
    <w:p w14:paraId="30B753E4">
      <w:pPr>
        <w:bidi w:val="0"/>
        <w:rPr>
          <w:rFonts w:hint="eastAsia"/>
        </w:rPr>
      </w:pPr>
      <w:r>
        <w:rPr>
          <w:rFonts w:hint="eastAsia"/>
        </w:rPr>
        <w:t>亮度温度并不是通常意义上的温度。其表征了辐射强度，且依赖于辐射机制，因此与辐射体的物理温度有很大差别。非热能源也可以拥有非常高的亮</w:t>
      </w:r>
      <w:r>
        <w:rPr>
          <w:rFonts w:hint="eastAsia"/>
          <w:lang w:val="en-US" w:eastAsia="zh-CN"/>
        </w:rPr>
        <w:t>度</w:t>
      </w:r>
      <w:r>
        <w:rPr>
          <w:rFonts w:hint="eastAsia"/>
        </w:rPr>
        <w:t>温度。</w:t>
      </w:r>
    </w:p>
    <w:p w14:paraId="4DFE610F">
      <w:pPr>
        <w:bidi w:val="0"/>
        <w:rPr>
          <w:rFonts w:hint="eastAsia" w:eastAsia="宋体"/>
          <w:lang w:val="en-US" w:eastAsia="zh-CN"/>
        </w:rPr>
      </w:pPr>
      <m:oMathPara>
        <m:oMath>
          <m:sSub>
            <m:sSubPr>
              <m:ctrlPr>
                <w:rPr>
                  <w:rFonts w:ascii="Cambria Math" w:hAnsi="Cambria Math"/>
                  <w:i/>
                </w:rPr>
              </m:ctrlPr>
            </m:sSubPr>
            <m:e>
              <m:r>
                <m:rPr/>
                <w:rPr>
                  <w:rFonts w:hint="default" w:ascii="Cambria Math" w:hAnsi="Cambria Math"/>
                  <w:lang w:val="en-US" w:eastAsia="zh-CN"/>
                </w:rPr>
                <m:t>L</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d>
            <m:dPr>
              <m:ctrlPr>
                <w:rPr>
                  <w:rFonts w:ascii="Cambria Math" w:hAnsi="Cambria Math"/>
                  <w:i/>
                </w:rPr>
              </m:ctrlPr>
            </m:dPr>
            <m:e>
              <m:r>
                <m:rPr/>
                <w:rPr>
                  <w:rFonts w:ascii="Cambria Math" w:hAnsi="Cambria Math"/>
                </w:rPr>
                <m:t>λ</m:t>
              </m:r>
              <m:r>
                <m:rPr/>
                <w:rPr>
                  <w:rFonts w:hint="default" w:ascii="Cambria Math" w:hAnsi="Cambria Math"/>
                  <w:lang w:val="en-US" w:eastAsia="zh-CN"/>
                </w:rPr>
                <m:t>,T</m:t>
              </m:r>
              <m:ctrlPr>
                <w:rPr>
                  <w:rFonts w:ascii="Cambria Math" w:hAnsi="Cambria Math"/>
                  <w:i/>
                </w:rPr>
              </m:ctrlPr>
            </m:e>
          </m:d>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2</m:t>
              </m:r>
              <m:r>
                <m:rPr/>
                <w:rPr>
                  <w:rFonts w:ascii="Cambria Math" w:hAnsi="Cambria Math"/>
                  <w:lang w:val="en-US"/>
                </w:rPr>
                <m:t>π</m:t>
              </m:r>
              <m:r>
                <m:rPr/>
                <w:rPr>
                  <w:rFonts w:hint="default" w:ascii="Cambria Math" w:hAnsi="Cambria Math"/>
                  <w:lang w:val="en-US" w:eastAsia="zh-CN"/>
                </w:rPr>
                <m:t>ℎ</m:t>
              </m:r>
              <m:sSup>
                <m:sSupPr>
                  <m:ctrlPr>
                    <w:rPr>
                      <w:rFonts w:hint="default" w:ascii="Cambria Math" w:hAnsi="Cambria Math"/>
                      <w:i/>
                      <w:lang w:val="en-US" w:eastAsia="zh-CN"/>
                    </w:rPr>
                  </m:ctrlPr>
                </m:sSupPr>
                <m:e>
                  <m:r>
                    <m:rPr/>
                    <w:rPr>
                      <w:rFonts w:hint="default" w:ascii="Cambria Math" w:hAnsi="Cambria Math"/>
                      <w:lang w:val="en-US" w:eastAsia="zh-CN"/>
                    </w:rPr>
                    <m:t>c</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hint="default" w:ascii="Cambria Math" w:hAnsi="Cambria Math"/>
                  <w:i/>
                  <w:lang w:val="en-US" w:eastAsia="zh-CN"/>
                </w:rPr>
              </m:ctrlPr>
            </m:num>
            <m:den>
              <m:sSup>
                <m:sSupPr>
                  <m:ctrlPr>
                    <w:rPr>
                      <w:rFonts w:hint="default" w:ascii="Cambria Math" w:hAnsi="Cambria Math"/>
                      <w:i/>
                      <w:lang w:val="en-US" w:eastAsia="zh-CN"/>
                    </w:rPr>
                  </m:ctrlPr>
                </m:sSupPr>
                <m:e>
                  <m:r>
                    <m:rPr/>
                    <w:rPr>
                      <w:rFonts w:ascii="Cambria Math" w:hAnsi="Cambria Math"/>
                      <w:lang w:val="en-US"/>
                    </w:rPr>
                    <m:t>λ</m:t>
                  </m:r>
                  <m:ctrlPr>
                    <w:rPr>
                      <w:rFonts w:hint="default" w:ascii="Cambria Math" w:hAnsi="Cambria Math"/>
                      <w:i/>
                      <w:lang w:val="en-US" w:eastAsia="zh-CN"/>
                    </w:rPr>
                  </m:ctrlPr>
                </m:e>
                <m:sup>
                  <m:r>
                    <m:rPr/>
                    <w:rPr>
                      <w:rFonts w:hint="default" w:ascii="Cambria Math" w:hAnsi="Cambria Math"/>
                      <w:lang w:val="en-US" w:eastAsia="zh-CN"/>
                    </w:rPr>
                    <m:t>5</m:t>
                  </m:r>
                  <m:ctrlPr>
                    <w:rPr>
                      <w:rFonts w:hint="default" w:ascii="Cambria Math" w:hAnsi="Cambria Math"/>
                      <w:i/>
                      <w:lang w:val="en-US" w:eastAsia="zh-CN"/>
                    </w:rPr>
                  </m:ctrlPr>
                </m:sup>
              </m:sSup>
              <m:d>
                <m:dPr>
                  <m:ctrlPr>
                    <w:rPr>
                      <w:rFonts w:hint="default" w:ascii="Cambria Math" w:hAnsi="Cambria Math"/>
                      <w:i/>
                      <w:lang w:val="en-US" w:eastAsia="zh-CN"/>
                    </w:rPr>
                  </m:ctrlPr>
                </m:dPr>
                <m:e>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f>
                        <m:fPr>
                          <m:ctrlPr>
                            <w:rPr>
                              <w:rFonts w:hint="default" w:ascii="Cambria Math" w:hAnsi="Cambria Math"/>
                              <w:i/>
                              <w:lang w:val="en-US" w:eastAsia="zh-CN"/>
                            </w:rPr>
                          </m:ctrlPr>
                        </m:fPr>
                        <m:num>
                          <m:r>
                            <m:rPr/>
                            <w:rPr>
                              <w:rFonts w:hint="default" w:ascii="Cambria Math" w:hAnsi="Cambria Math"/>
                              <w:lang w:val="en-US" w:eastAsia="zh-CN"/>
                            </w:rPr>
                            <m:t>ℎc</m:t>
                          </m:r>
                          <m:ctrlPr>
                            <w:rPr>
                              <w:rFonts w:hint="default" w:ascii="Cambria Math" w:hAnsi="Cambria Math"/>
                              <w:i/>
                              <w:lang w:val="en-US" w:eastAsia="zh-CN"/>
                            </w:rPr>
                          </m:ctrlPr>
                        </m:num>
                        <m:den>
                          <m:r>
                            <m:rPr/>
                            <w:rPr>
                              <w:rFonts w:ascii="Cambria Math" w:hAnsi="Cambria Math"/>
                              <w:lang w:val="en-US"/>
                            </w:rPr>
                            <m:t>λ</m:t>
                          </m:r>
                          <m:r>
                            <m:rPr/>
                            <w:rPr>
                              <w:rFonts w:hint="default" w:ascii="Cambria Math" w:hAnsi="Cambria Math"/>
                              <w:lang w:val="en-US" w:eastAsia="zh-CN"/>
                            </w:rPr>
                            <m:t>KT</m:t>
                          </m:r>
                          <m:ctrlPr>
                            <w:rPr>
                              <w:rFonts w:hint="default" w:ascii="Cambria Math" w:hAnsi="Cambria Math"/>
                              <w:i/>
                              <w:lang w:val="en-US" w:eastAsia="zh-CN"/>
                            </w:rPr>
                          </m:ctrlPr>
                        </m:den>
                      </m:f>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i/>
                      <w:lang w:val="en-US" w:eastAsia="zh-CN"/>
                    </w:rPr>
                  </m:ctrlPr>
                </m:e>
              </m:d>
              <m:ctrlPr>
                <w:rPr>
                  <w:rFonts w:hint="default" w:ascii="Cambria Math" w:hAnsi="Cambria Math"/>
                  <w:i/>
                  <w:lang w:val="en-US" w:eastAsia="zh-CN"/>
                </w:rPr>
              </m:ctrlPr>
            </m:den>
          </m:f>
        </m:oMath>
      </m:oMathPara>
    </w:p>
    <w:p w14:paraId="4CC90B1A">
      <w:pPr>
        <w:bidi w:val="0"/>
        <w:rPr>
          <w:rFonts w:hint="eastAsia"/>
        </w:rPr>
      </w:pPr>
      <w:r>
        <w:rPr>
          <w:rFonts w:hint="eastAsia"/>
        </w:rPr>
        <w:t>在实际测温中，被测物体的真实温度通常是一确定的值。这样，物体的亮度温度是一个与波长相联系的量。一般说来，所取的波长愈长，则测得的亮度温度愈低；而波长愈短，则亮度温度愈高。因此，实际物体的亮度温度值只有在注明其相应波长数值的情况下才是有意义的。</w:t>
      </w:r>
    </w:p>
    <w:p w14:paraId="03A3397F">
      <w:pPr>
        <w:bidi w:val="0"/>
        <w:rPr>
          <w:rFonts w:hint="eastAsia"/>
        </w:rPr>
      </w:pPr>
      <w:r>
        <w:rPr>
          <w:rFonts w:hint="eastAsia"/>
        </w:rPr>
        <w:t>在相同的温度与波长下，实际物体的热辐射总比黑体辐射小；而在具有相同热辐射的条件下，黑体温度必然低于实际物体的实际温度。</w:t>
      </w:r>
    </w:p>
    <w:p w14:paraId="7AE23ADA">
      <w:pPr>
        <w:bidi w:val="0"/>
        <w:rPr>
          <w:rFonts w:hint="eastAsia"/>
        </w:rPr>
      </w:pPr>
    </w:p>
    <w:p w14:paraId="2450D79A">
      <w:pPr>
        <w:bidi w:val="0"/>
        <w:ind w:left="0" w:leftChars="0" w:firstLine="0" w:firstLineChars="0"/>
        <w:rPr>
          <w:rFonts w:hint="default" w:eastAsia="宋体"/>
          <w:b/>
          <w:bCs/>
          <w:lang w:val="en-US" w:eastAsia="zh-CN"/>
        </w:rPr>
      </w:pPr>
      <w:r>
        <w:rPr>
          <w:b/>
          <w:bCs/>
        </w:rPr>
        <w:t>15. 简单描述海表盐度遥感测量的原理。并列举影响海表盐度遥感的因素。</w:t>
      </w:r>
      <w:r>
        <w:rPr>
          <w:rFonts w:hint="eastAsia"/>
          <w:b/>
          <w:bCs/>
          <w:lang w:val="en-US" w:eastAsia="zh-CN"/>
        </w:rPr>
        <w:t>1129 P15</w:t>
      </w:r>
    </w:p>
    <w:p w14:paraId="77F8052D">
      <w:pPr>
        <w:bidi w:val="0"/>
        <w:rPr>
          <w:rFonts w:hint="eastAsia"/>
          <w:lang w:eastAsia="zh-CN"/>
        </w:rPr>
      </w:pPr>
      <w:r>
        <w:rPr>
          <w:b/>
          <w:bCs/>
        </w:rPr>
        <w:t>海表盐度遥感测量的原理</w:t>
      </w:r>
      <w:r>
        <w:rPr>
          <w:rFonts w:hint="eastAsia"/>
          <w:b/>
          <w:bCs/>
          <w:lang w:eastAsia="zh-CN"/>
        </w:rPr>
        <w:t>：</w:t>
      </w:r>
      <w:r>
        <w:rPr>
          <w:rFonts w:hint="eastAsia"/>
          <w:lang w:eastAsia="zh-CN"/>
        </w:rPr>
        <w:t>卫星测量海表盐度的原理是基于在微波频率上，盐度对海表亮温的敏感度进行的。海水盐度的增加会使海水导电能力上升，从而使海水的介电常数增大，最终使得海表发射率和亮温降低。</w:t>
      </w:r>
    </w:p>
    <w:p w14:paraId="44A98D29">
      <w:pPr>
        <w:bidi w:val="0"/>
        <w:rPr>
          <w:rFonts w:hint="eastAsia"/>
          <w:b/>
          <w:bCs/>
          <w:lang w:val="en-US" w:eastAsia="zh-CN"/>
        </w:rPr>
      </w:pPr>
      <w:r>
        <w:rPr>
          <w:b/>
          <w:bCs/>
        </w:rPr>
        <w:t>影响海表盐度遥感的因素</w:t>
      </w:r>
      <w:r>
        <w:rPr>
          <w:rFonts w:hint="eastAsia"/>
          <w:b/>
          <w:bCs/>
          <w:lang w:val="en-US" w:eastAsia="zh-CN"/>
        </w:rPr>
        <w:t>:</w:t>
      </w:r>
    </w:p>
    <w:p w14:paraId="4F6EC02F">
      <w:pPr>
        <w:numPr>
          <w:ilvl w:val="0"/>
          <w:numId w:val="2"/>
        </w:numPr>
        <w:bidi w:val="0"/>
        <w:rPr>
          <w:rFonts w:hint="eastAsia"/>
          <w:b/>
          <w:bCs/>
          <w:lang w:val="en-US" w:eastAsia="zh-CN"/>
        </w:rPr>
      </w:pPr>
      <w:r>
        <w:rPr>
          <w:rFonts w:hint="eastAsia"/>
          <w:b/>
          <w:bCs/>
          <w:lang w:val="en-US" w:eastAsia="zh-CN"/>
        </w:rPr>
        <w:t>盐度遥感使用的频率</w:t>
      </w:r>
    </w:p>
    <w:p w14:paraId="12C3127E">
      <w:pPr>
        <w:bidi w:val="0"/>
        <w:rPr>
          <w:rFonts w:hint="eastAsia"/>
          <w:lang w:val="en-US" w:eastAsia="zh-CN"/>
        </w:rPr>
      </w:pPr>
      <w:r>
        <w:rPr>
          <w:rFonts w:hint="eastAsia"/>
          <w:lang w:val="en-US" w:eastAsia="zh-CN"/>
        </w:rPr>
        <w:t>在给定辐射计相关参数的条件下，亮温是海表温度和盐度的函数。因此，在适用于盐度遥感的频率上，亮温随盐度的变化应该比其随温度的变化要显著得多。</w:t>
      </w:r>
    </w:p>
    <w:p w14:paraId="53987A35">
      <w:pPr>
        <w:bidi w:val="0"/>
        <w:rPr>
          <w:rFonts w:hint="eastAsia"/>
          <w:lang w:val="en-US" w:eastAsia="zh-CN"/>
        </w:rPr>
      </w:pPr>
      <w:r>
        <w:rPr>
          <w:rFonts w:hint="eastAsia"/>
          <w:lang w:val="en-US" w:eastAsia="zh-CN"/>
        </w:rPr>
        <w:t>研究表明：频率在1.4GHz的L波段是测量海水表面盐度的最佳波段，该波段对海表温度和风速的敏感度较低。同时可以采用S波段和C波段来修正海表盐度测量时海表温度和风速的影响。</w:t>
      </w:r>
    </w:p>
    <w:p w14:paraId="23397F60">
      <w:pPr>
        <w:numPr>
          <w:ilvl w:val="0"/>
          <w:numId w:val="2"/>
        </w:numPr>
        <w:bidi w:val="0"/>
        <w:rPr>
          <w:rFonts w:hint="eastAsia"/>
          <w:b/>
          <w:bCs/>
          <w:lang w:val="en-US" w:eastAsia="zh-CN"/>
        </w:rPr>
      </w:pPr>
      <w:r>
        <w:rPr>
          <w:rFonts w:hint="eastAsia"/>
          <w:b/>
          <w:bCs/>
          <w:lang w:val="en-US" w:eastAsia="zh-CN"/>
        </w:rPr>
        <w:t>极化方式和入射角</w:t>
      </w:r>
    </w:p>
    <w:p w14:paraId="561D9D35">
      <w:pPr>
        <w:bidi w:val="0"/>
        <w:rPr>
          <w:rFonts w:hint="eastAsia"/>
          <w:lang w:val="en-US" w:eastAsia="zh-CN"/>
        </w:rPr>
      </w:pPr>
      <w:r>
        <w:rPr>
          <w:rFonts w:hint="eastAsia"/>
          <w:lang w:val="en-US" w:eastAsia="zh-CN"/>
        </w:rPr>
        <w:t>极化和入射角也影响亮温对盐度的敏感性。其规律为：垂直极化时均优于水平极化； 在垂直极化方式下，入射角越大越好；在水平极化方式下，入射角越小越好。</w:t>
      </w:r>
    </w:p>
    <w:p w14:paraId="1C538FFC">
      <w:pPr>
        <w:numPr>
          <w:ilvl w:val="0"/>
          <w:numId w:val="2"/>
        </w:numPr>
        <w:bidi w:val="0"/>
        <w:rPr>
          <w:rFonts w:hint="eastAsia"/>
          <w:b/>
          <w:bCs/>
          <w:lang w:val="en-US" w:eastAsia="zh-CN"/>
        </w:rPr>
      </w:pPr>
      <w:r>
        <w:rPr>
          <w:rFonts w:hint="eastAsia"/>
          <w:b/>
          <w:bCs/>
          <w:lang w:val="en-US" w:eastAsia="zh-CN"/>
        </w:rPr>
        <w:t>盐度反演精度与亮温的关系</w:t>
      </w:r>
    </w:p>
    <w:p w14:paraId="4843CC2F">
      <w:pPr>
        <w:bidi w:val="0"/>
        <w:rPr>
          <w:rFonts w:hint="eastAsia"/>
          <w:lang w:val="en-US" w:eastAsia="zh-CN"/>
        </w:rPr>
      </w:pPr>
      <w:r>
        <w:rPr>
          <w:rFonts w:hint="eastAsia"/>
          <w:lang w:val="en-US" w:eastAsia="zh-CN"/>
        </w:rPr>
        <w:t>在相对高温和高盐的条件下，亮温对盐度更为敏感，盐度的反演效果较好。较大的亮温误差造成较大的盐度反演误差；同样的盐度反演精度下，低温时需要更高的亮温精度； 在同样的亮温精度条件下，盐度越高则反演精度越高，但超过一定的盐度时，其影响不显著。</w:t>
      </w:r>
    </w:p>
    <w:p w14:paraId="38EF5978">
      <w:pPr>
        <w:numPr>
          <w:ilvl w:val="0"/>
          <w:numId w:val="2"/>
        </w:numPr>
        <w:bidi w:val="0"/>
        <w:rPr>
          <w:rFonts w:hint="eastAsia"/>
          <w:b/>
          <w:bCs/>
          <w:lang w:val="en-US" w:eastAsia="zh-CN"/>
        </w:rPr>
      </w:pPr>
      <w:r>
        <w:rPr>
          <w:rFonts w:hint="eastAsia"/>
          <w:b/>
          <w:bCs/>
          <w:lang w:val="en-US" w:eastAsia="zh-CN"/>
        </w:rPr>
        <w:t>其它影响海表微波辐射测量误差的因素</w:t>
      </w:r>
    </w:p>
    <w:p w14:paraId="7086F0A7">
      <w:pPr>
        <w:bidi w:val="0"/>
        <w:rPr>
          <w:rFonts w:hint="eastAsia"/>
          <w:lang w:val="en-US" w:eastAsia="zh-CN"/>
        </w:rPr>
      </w:pPr>
      <w:r>
        <w:rPr>
          <w:rFonts w:hint="eastAsia"/>
          <w:b/>
          <w:bCs/>
          <w:lang w:val="en-US" w:eastAsia="zh-CN"/>
        </w:rPr>
        <w:t>大气干空气和水蒸气的影响：</w:t>
      </w:r>
      <w:r>
        <w:rPr>
          <w:rFonts w:hint="eastAsia"/>
          <w:lang w:val="en-US" w:eastAsia="zh-CN"/>
        </w:rPr>
        <w:t>1.4GHz频段上，最主要的贡献来自干空气，需要考虑大气透过率、上行辐射和下行辐射的影响。</w:t>
      </w:r>
    </w:p>
    <w:p w14:paraId="659536EB">
      <w:pPr>
        <w:bidi w:val="0"/>
        <w:rPr>
          <w:rFonts w:hint="eastAsia"/>
          <w:lang w:val="en-US" w:eastAsia="zh-CN"/>
        </w:rPr>
      </w:pPr>
      <w:r>
        <w:rPr>
          <w:rFonts w:hint="eastAsia"/>
          <w:b/>
          <w:bCs/>
          <w:lang w:val="en-US" w:eastAsia="zh-CN"/>
        </w:rPr>
        <w:t>云的影响：</w:t>
      </w:r>
      <w:r>
        <w:rPr>
          <w:rFonts w:hint="eastAsia"/>
          <w:lang w:val="en-US" w:eastAsia="zh-CN"/>
        </w:rPr>
        <w:t>1.4GHz频段上，云的辐射和散射可利用瑞利散射模式解释。</w:t>
      </w:r>
    </w:p>
    <w:p w14:paraId="351E8DE3">
      <w:pPr>
        <w:bidi w:val="0"/>
        <w:rPr>
          <w:rFonts w:hint="eastAsia"/>
          <w:lang w:val="en-US" w:eastAsia="zh-CN"/>
        </w:rPr>
      </w:pPr>
      <w:r>
        <w:rPr>
          <w:rFonts w:hint="eastAsia"/>
          <w:b/>
          <w:bCs/>
          <w:lang w:val="en-US" w:eastAsia="zh-CN"/>
        </w:rPr>
        <w:t>表面粗糙度的影响：</w:t>
      </w:r>
      <w:r>
        <w:rPr>
          <w:rFonts w:hint="eastAsia"/>
          <w:lang w:val="en-US" w:eastAsia="zh-CN"/>
        </w:rPr>
        <w:t>可利用雷达和辐射计的组合数据，降低其影响。</w:t>
      </w:r>
    </w:p>
    <w:p w14:paraId="1A381AB1">
      <w:pPr>
        <w:bidi w:val="0"/>
        <w:rPr>
          <w:rFonts w:hint="eastAsia"/>
          <w:lang w:val="en-US" w:eastAsia="zh-CN"/>
        </w:rPr>
      </w:pPr>
      <w:r>
        <w:rPr>
          <w:rFonts w:hint="eastAsia"/>
          <w:b/>
          <w:bCs/>
          <w:lang w:val="en-US" w:eastAsia="zh-CN"/>
        </w:rPr>
        <w:t>太阳系和宇宙辐射的影响：</w:t>
      </w:r>
      <w:r>
        <w:rPr>
          <w:rFonts w:hint="eastAsia"/>
          <w:lang w:val="en-US" w:eastAsia="zh-CN"/>
        </w:rPr>
        <w:t>最重要的是太阳辐射的影响。要精心设计天线，使进入天线侧部的来自太阳的辐射或反射最少。</w:t>
      </w:r>
    </w:p>
    <w:p w14:paraId="15853EA0">
      <w:pPr>
        <w:bidi w:val="0"/>
        <w:rPr>
          <w:rFonts w:hint="eastAsia"/>
          <w:lang w:val="en-US" w:eastAsia="zh-CN"/>
        </w:rPr>
      </w:pPr>
    </w:p>
    <w:p w14:paraId="07E378FE">
      <w:pPr>
        <w:bidi w:val="0"/>
        <w:ind w:left="0" w:leftChars="0" w:firstLine="0" w:firstLineChars="0"/>
      </w:pPr>
      <w:r>
        <w:rPr>
          <w:b/>
          <w:bCs/>
        </w:rPr>
        <w:t xml:space="preserve">16. </w:t>
      </w:r>
      <w:r>
        <w:t>平静海面的微波亮温</w:t>
      </w:r>
      <w:r>
        <w:rPr>
          <w:i/>
          <w:iCs/>
        </w:rPr>
        <w:t>T</w:t>
      </w:r>
      <w:r>
        <w:t>通过_</w:t>
      </w:r>
      <w:r>
        <w:rPr>
          <w:rFonts w:hint="eastAsia"/>
          <w:b/>
          <w:bCs/>
          <w:color w:val="FF0000"/>
          <w:u w:val="single"/>
        </w:rPr>
        <w:t>①</w:t>
      </w:r>
      <w:r>
        <w:rPr>
          <w:rFonts w:hint="eastAsia"/>
          <w:b/>
          <w:bCs/>
          <w:i w:val="0"/>
          <w:iCs w:val="0"/>
          <w:color w:val="FF0000"/>
          <w:u w:val="single"/>
          <w:lang w:eastAsia="zh-CN"/>
        </w:rPr>
        <w:t>、</w:t>
      </w:r>
      <w:r>
        <w:rPr>
          <w:rFonts w:hint="eastAsia"/>
          <w:b/>
          <w:bCs/>
          <w:color w:val="FF0000"/>
          <w:u w:val="single"/>
        </w:rPr>
        <w:t>④</w:t>
      </w:r>
      <w:r>
        <w:rPr>
          <w:rFonts w:hint="eastAsia"/>
          <w:b/>
          <w:bCs/>
          <w:i w:val="0"/>
          <w:iCs w:val="0"/>
          <w:color w:val="FF0000"/>
          <w:u w:val="single"/>
          <w:lang w:eastAsia="zh-CN"/>
        </w:rPr>
        <w:t>、</w:t>
      </w:r>
      <w:r>
        <w:rPr>
          <w:rFonts w:hint="eastAsia"/>
          <w:b/>
          <w:bCs/>
          <w:color w:val="FF0000"/>
          <w:u w:val="single"/>
        </w:rPr>
        <w:t>⑤</w:t>
      </w:r>
      <w:r>
        <w:t>_与海面发射率</w:t>
      </w:r>
      <w:r>
        <w:rPr>
          <w:i/>
          <w:iCs/>
        </w:rPr>
        <w:t>e</w:t>
      </w:r>
      <w:r>
        <w:t>相联系，海面发射率</w:t>
      </w:r>
      <w:r>
        <w:rPr>
          <w:i/>
          <w:iCs/>
        </w:rPr>
        <w:t>e</w:t>
      </w:r>
      <w:r>
        <w:t>通过__</w:t>
      </w:r>
      <w:r>
        <w:rPr>
          <w:rFonts w:hint="eastAsia"/>
          <w:b/>
          <w:bCs/>
          <w:color w:val="FF0000"/>
          <w:u w:val="single"/>
        </w:rPr>
        <w:t>①</w:t>
      </w:r>
      <w:r>
        <w:t>__与菲涅耳反射率</w:t>
      </w:r>
      <w:r>
        <w:rPr>
          <w:i/>
          <w:iCs/>
        </w:rPr>
        <w:t>ρ</w:t>
      </w:r>
      <w:r>
        <w:t>相联系，菲涅耳反射率</w:t>
      </w:r>
      <w:r>
        <w:rPr>
          <w:i/>
          <w:iCs/>
        </w:rPr>
        <w:t>ρ</w:t>
      </w:r>
      <w:r>
        <w:t>通过__</w:t>
      </w:r>
      <w:r>
        <w:rPr>
          <w:rFonts w:hint="eastAsia"/>
          <w:b/>
          <w:bCs/>
          <w:color w:val="FF0000"/>
          <w:u w:val="single"/>
        </w:rPr>
        <w:t>②</w:t>
      </w:r>
      <w:r>
        <w:t>__与相对电容率</w:t>
      </w:r>
      <w:r>
        <w:rPr>
          <w:i/>
          <w:iCs/>
        </w:rPr>
        <w:t>ε</w:t>
      </w:r>
      <w:r>
        <w:rPr>
          <w:i/>
          <w:iCs/>
          <w:vertAlign w:val="subscript"/>
        </w:rPr>
        <w:t>r</w:t>
      </w:r>
      <w:r>
        <w:t>相联系，相对电容率</w:t>
      </w:r>
      <w:r>
        <w:rPr>
          <w:i/>
          <w:iCs/>
        </w:rPr>
        <w:t>ε</w:t>
      </w:r>
      <w:r>
        <w:rPr>
          <w:i/>
          <w:iCs/>
          <w:vertAlign w:val="subscript"/>
        </w:rPr>
        <w:t>r</w:t>
      </w:r>
      <w:r>
        <w:t>通过_</w:t>
      </w:r>
      <w:r>
        <w:rPr>
          <w:b w:val="0"/>
          <w:bCs w:val="0"/>
        </w:rPr>
        <w:t>_</w:t>
      </w:r>
      <w:r>
        <w:rPr>
          <w:rFonts w:hint="eastAsia"/>
          <w:b/>
          <w:bCs/>
          <w:color w:val="FF0000"/>
          <w:u w:val="single"/>
        </w:rPr>
        <w:t>③</w:t>
      </w:r>
      <w:r>
        <w:rPr>
          <w:rFonts w:hint="eastAsia"/>
          <w:u w:val="single"/>
          <w:lang w:val="en-US" w:eastAsia="zh-CN"/>
        </w:rPr>
        <w:t xml:space="preserve"> </w:t>
      </w:r>
      <w:r>
        <w:t>_与海表面温度和盐度相联系。（选择：</w:t>
      </w:r>
      <w:r>
        <w:rPr>
          <w:rFonts w:hint="eastAsia"/>
        </w:rPr>
        <w:t>①</w:t>
      </w:r>
      <w:r>
        <w:t>基尔霍夫定律，</w:t>
      </w:r>
      <w:r>
        <w:rPr>
          <w:rFonts w:hint="eastAsia"/>
        </w:rPr>
        <w:t>②</w:t>
      </w:r>
      <w:r>
        <w:t>菲涅耳公式，</w:t>
      </w:r>
      <w:r>
        <w:rPr>
          <w:rFonts w:hint="eastAsia"/>
        </w:rPr>
        <w:t>③</w:t>
      </w:r>
      <w:r>
        <w:t>德拜方程，</w:t>
      </w:r>
      <w:r>
        <w:rPr>
          <w:rFonts w:hint="eastAsia"/>
        </w:rPr>
        <w:t>④</w:t>
      </w:r>
      <w:r>
        <w:t>瑞利-金斯定律，</w:t>
      </w:r>
      <w:r>
        <w:rPr>
          <w:rFonts w:hint="eastAsia"/>
        </w:rPr>
        <w:t>⑤</w:t>
      </w:r>
      <w:r>
        <w:t>两尺度模型）</w:t>
      </w:r>
    </w:p>
    <w:p w14:paraId="7CA0C202">
      <w:pPr>
        <w:bidi w:val="0"/>
        <w:rPr>
          <w:rFonts w:hint="default"/>
          <w:i/>
          <w:iCs/>
          <w:lang w:val="en-US" w:eastAsia="zh-CN"/>
        </w:rPr>
      </w:pPr>
      <w:r>
        <w:rPr>
          <w:rFonts w:hint="eastAsia"/>
          <w:lang w:val="en-US" w:eastAsia="zh-CN"/>
        </w:rPr>
        <w:t>ps：基尔霍夫定律：发射率</w:t>
      </w:r>
      <w:r>
        <w:rPr>
          <w:rFonts w:hint="eastAsia"/>
          <w:i/>
          <w:iCs/>
          <w:lang w:val="en-US" w:eastAsia="zh-CN"/>
        </w:rPr>
        <w:t>e</w:t>
      </w:r>
      <w:r>
        <w:rPr>
          <w:rFonts w:hint="eastAsia"/>
          <w:lang w:val="en-US" w:eastAsia="zh-CN"/>
        </w:rPr>
        <w:t>等于吸收系数</w:t>
      </w:r>
      <w:r>
        <w:rPr>
          <w:rFonts w:hint="default" w:ascii="Times New Roman" w:hAnsi="Times New Roman" w:cs="Times New Roman"/>
          <w:i/>
          <w:iCs/>
          <w:lang w:val="en-US" w:eastAsia="zh-CN"/>
        </w:rPr>
        <w:t>α</w:t>
      </w:r>
    </w:p>
    <w:p w14:paraId="4FE5EF41">
      <w:pPr>
        <w:bidi w:val="0"/>
        <w:rPr>
          <w:rFonts w:hint="default" w:hAnsi="Cambria Math"/>
          <w:i w:val="0"/>
          <w:iCs w:val="0"/>
          <w:vertAlign w:val="baseline"/>
          <w:lang w:val="en-US" w:eastAsia="zh-CN"/>
        </w:rPr>
      </w:pPr>
      <w:r>
        <w:rPr>
          <w:i/>
          <w:iCs/>
        </w:rPr>
        <w:t>ε</w:t>
      </w:r>
      <w:r>
        <w:rPr>
          <w:i/>
          <w:iCs/>
          <w:vertAlign w:val="subscript"/>
        </w:rPr>
        <w:t>r</w:t>
      </w:r>
      <w:r>
        <w:rPr>
          <w:rFonts w:hint="eastAsia"/>
          <w:i w:val="0"/>
          <w:iCs w:val="0"/>
          <w:vertAlign w:val="baseline"/>
          <w:lang w:val="en-US" w:eastAsia="zh-CN"/>
        </w:rPr>
        <w:t>由德拜方程得出，</w:t>
      </w:r>
      <m:oMath>
        <m:sSub>
          <m:sSubPr>
            <m:ctrlPr>
              <w:rPr>
                <w:rFonts w:ascii="Cambria Math" w:hAnsi="Cambria Math"/>
                <w:i/>
                <w:iCs w:val="0"/>
                <w:vertAlign w:val="baseline"/>
                <w:lang w:val="en-US"/>
              </w:rPr>
            </m:ctrlPr>
          </m:sSubPr>
          <m:e>
            <m:r>
              <m:rPr/>
              <w:rPr>
                <w:rFonts w:hint="default" w:ascii="Cambria Math" w:hAnsi="Cambria Math"/>
              </w:rPr>
              <m:t>ε</m:t>
            </m:r>
            <m:ctrlPr>
              <w:rPr>
                <w:rFonts w:ascii="Cambria Math" w:hAnsi="Cambria Math"/>
                <w:i/>
                <w:iCs w:val="0"/>
                <w:vertAlign w:val="baseline"/>
                <w:lang w:val="en-US"/>
              </w:rPr>
            </m:ctrlPr>
          </m:e>
          <m:sub>
            <m:r>
              <m:rPr/>
              <w:rPr>
                <w:rFonts w:hint="default" w:ascii="Cambria Math" w:hAnsi="Cambria Math"/>
                <w:vertAlign w:val="baseline"/>
                <w:lang w:val="en-US" w:eastAsia="zh-CN"/>
              </w:rPr>
              <m:t>r</m:t>
            </m:r>
            <m:ctrlPr>
              <w:rPr>
                <w:rFonts w:ascii="Cambria Math" w:hAnsi="Cambria Math"/>
                <w:i/>
                <w:iCs w:val="0"/>
                <w:vertAlign w:val="baseline"/>
                <w:lang w:val="en-US"/>
              </w:rPr>
            </m:ctrlPr>
          </m:sub>
        </m:sSub>
        <m:d>
          <m:dPr>
            <m:ctrlPr>
              <w:rPr>
                <w:rFonts w:ascii="Cambria Math" w:hAnsi="Cambria Math"/>
                <w:i/>
                <w:iCs w:val="0"/>
                <w:vertAlign w:val="baseline"/>
                <w:lang w:val="en-US"/>
              </w:rPr>
            </m:ctrlPr>
          </m:dPr>
          <m:e>
            <m:r>
              <m:rPr/>
              <w:rPr>
                <w:rFonts w:ascii="Cambria Math" w:hAnsi="Cambria Math"/>
                <w:vertAlign w:val="baseline"/>
                <w:lang w:val="en-US"/>
              </w:rPr>
              <m:t>ω</m:t>
            </m:r>
            <m:r>
              <m:rPr/>
              <w:rPr>
                <w:rFonts w:hint="default" w:ascii="Cambria Math" w:hAnsi="Cambria Math"/>
                <w:vertAlign w:val="baseline"/>
                <w:lang w:val="en-US" w:eastAsia="zh-CN"/>
              </w:rPr>
              <m:t>,T</m:t>
            </m:r>
            <m:r>
              <m:rPr>
                <m:sty m:val="p"/>
              </m:rPr>
              <w:rPr>
                <w:rFonts w:hint="default" w:ascii="Cambria Math" w:hAnsi="Cambria Math"/>
                <w:vertAlign w:val="baseline"/>
                <w:lang w:val="en-US" w:eastAsia="zh-CN"/>
              </w:rPr>
              <m:t>,</m:t>
            </m:r>
            <m:r>
              <m:rPr/>
              <w:rPr>
                <w:rFonts w:hint="default" w:ascii="Cambria Math" w:hAnsi="Cambria Math"/>
                <w:vertAlign w:val="baseline"/>
                <w:lang w:val="en-US" w:eastAsia="zh-CN"/>
              </w:rPr>
              <m:t>S</m:t>
            </m:r>
            <m:ctrlPr>
              <w:rPr>
                <w:rFonts w:ascii="Cambria Math" w:hAnsi="Cambria Math"/>
                <w:i/>
                <w:iCs w:val="0"/>
                <w:vertAlign w:val="baseline"/>
                <w:lang w:val="en-US"/>
              </w:rPr>
            </m:ctrlPr>
          </m:e>
        </m:d>
        <m:r>
          <m:rPr/>
          <w:rPr>
            <w:rFonts w:hint="default" w:ascii="Cambria Math" w:hAnsi="Cambria Math"/>
            <w:vertAlign w:val="baseline"/>
            <w:lang w:val="en-US" w:eastAsia="zh-CN"/>
          </w:rPr>
          <m:t>=</m:t>
        </m:r>
        <m:sSub>
          <m:sSubPr>
            <m:ctrlPr>
              <w:rPr>
                <w:rFonts w:ascii="Cambria Math" w:hAnsi="Cambria Math"/>
                <w:i/>
                <w:iCs w:val="0"/>
                <w:vertAlign w:val="baseline"/>
                <w:lang w:val="en-US"/>
              </w:rPr>
            </m:ctrlPr>
          </m:sSubPr>
          <m:e>
            <m:r>
              <m:rPr/>
              <w:rPr>
                <w:rFonts w:hint="default" w:ascii="Cambria Math" w:hAnsi="Cambria Math"/>
              </w:rPr>
              <m:t>ε</m:t>
            </m:r>
            <m:ctrlPr>
              <w:rPr>
                <w:rFonts w:ascii="Cambria Math" w:hAnsi="Cambria Math"/>
                <w:i/>
                <w:iCs w:val="0"/>
                <w:vertAlign w:val="baseline"/>
                <w:lang w:val="en-US"/>
              </w:rPr>
            </m:ctrlPr>
          </m:e>
          <m:sub>
            <m:r>
              <m:rPr/>
              <w:rPr>
                <w:rFonts w:ascii="Cambria Math" w:hAnsi="Cambria Math"/>
                <w:vertAlign w:val="baseline"/>
                <w:lang w:val="en-US"/>
              </w:rPr>
              <m:t>∞</m:t>
            </m:r>
            <m:ctrlPr>
              <w:rPr>
                <w:rFonts w:ascii="Cambria Math" w:hAnsi="Cambria Math"/>
                <w:i/>
                <w:iCs w:val="0"/>
                <w:vertAlign w:val="baseline"/>
                <w:lang w:val="en-US"/>
              </w:rPr>
            </m:ctrlPr>
          </m:sub>
        </m:sSub>
        <m:r>
          <m:rPr/>
          <w:rPr>
            <w:rFonts w:hint="default" w:ascii="Cambria Math" w:hAnsi="Cambria Math"/>
            <w:vertAlign w:val="baseline"/>
            <w:lang w:val="en-US" w:eastAsia="zh-CN"/>
          </w:rPr>
          <m:t>+</m:t>
        </m:r>
        <m:f>
          <m:fPr>
            <m:ctrlPr>
              <w:rPr>
                <w:rFonts w:hint="default" w:ascii="Cambria Math" w:hAnsi="Cambria Math"/>
                <w:i/>
                <w:iCs w:val="0"/>
                <w:vertAlign w:val="baseline"/>
                <w:lang w:val="en-US" w:eastAsia="zh-CN"/>
              </w:rPr>
            </m:ctrlPr>
          </m:fPr>
          <m:num>
            <m:sSub>
              <m:sSubPr>
                <m:ctrlPr>
                  <w:rPr>
                    <w:rFonts w:ascii="Cambria Math" w:hAnsi="Cambria Math"/>
                    <w:i/>
                    <w:iCs w:val="0"/>
                    <w:vertAlign w:val="baseline"/>
                    <w:lang w:val="en-US"/>
                  </w:rPr>
                </m:ctrlPr>
              </m:sSubPr>
              <m:e>
                <m:r>
                  <m:rPr/>
                  <w:rPr>
                    <w:rFonts w:hint="default" w:ascii="Cambria Math" w:hAnsi="Cambria Math"/>
                  </w:rPr>
                  <m:t>ε</m:t>
                </m:r>
                <m:ctrlPr>
                  <w:rPr>
                    <w:rFonts w:ascii="Cambria Math" w:hAnsi="Cambria Math"/>
                    <w:i/>
                    <w:iCs w:val="0"/>
                    <w:vertAlign w:val="baseline"/>
                    <w:lang w:val="en-US"/>
                  </w:rPr>
                </m:ctrlPr>
              </m:e>
              <m:sub>
                <m:r>
                  <m:rPr/>
                  <w:rPr>
                    <w:rFonts w:hint="default" w:ascii="Cambria Math" w:hAnsi="Cambria Math"/>
                    <w:vertAlign w:val="baseline"/>
                    <w:lang w:val="en-US" w:eastAsia="zh-CN"/>
                  </w:rPr>
                  <m:t>S</m:t>
                </m:r>
                <m:ctrlPr>
                  <w:rPr>
                    <w:rFonts w:ascii="Cambria Math" w:hAnsi="Cambria Math"/>
                    <w:i/>
                    <w:iCs w:val="0"/>
                    <w:vertAlign w:val="baseline"/>
                    <w:lang w:val="en-US"/>
                  </w:rPr>
                </m:ctrlPr>
              </m:sub>
            </m:sSub>
            <m:r>
              <m:rPr/>
              <w:rPr>
                <w:rFonts w:hint="default" w:ascii="Cambria Math" w:hAnsi="Cambria Math"/>
                <w:vertAlign w:val="baseline"/>
                <w:lang w:val="en-US" w:eastAsia="zh-CN"/>
              </w:rPr>
              <m:t>−</m:t>
            </m:r>
            <m:sSub>
              <m:sSubPr>
                <m:ctrlPr>
                  <w:rPr>
                    <w:rFonts w:ascii="Cambria Math" w:hAnsi="Cambria Math"/>
                    <w:i/>
                    <w:iCs w:val="0"/>
                    <w:vertAlign w:val="baseline"/>
                    <w:lang w:val="en-US"/>
                  </w:rPr>
                </m:ctrlPr>
              </m:sSubPr>
              <m:e>
                <m:r>
                  <m:rPr/>
                  <w:rPr>
                    <w:rFonts w:hint="default" w:ascii="Cambria Math" w:hAnsi="Cambria Math"/>
                  </w:rPr>
                  <m:t>ε</m:t>
                </m:r>
                <m:ctrlPr>
                  <w:rPr>
                    <w:rFonts w:ascii="Cambria Math" w:hAnsi="Cambria Math"/>
                    <w:i/>
                    <w:iCs w:val="0"/>
                    <w:vertAlign w:val="baseline"/>
                    <w:lang w:val="en-US"/>
                  </w:rPr>
                </m:ctrlPr>
              </m:e>
              <m:sub>
                <m:r>
                  <m:rPr/>
                  <w:rPr>
                    <w:rFonts w:ascii="Cambria Math" w:hAnsi="Cambria Math"/>
                    <w:vertAlign w:val="baseline"/>
                    <w:lang w:val="en-US"/>
                  </w:rPr>
                  <m:t>∞</m:t>
                </m:r>
                <m:ctrlPr>
                  <w:rPr>
                    <w:rFonts w:ascii="Cambria Math" w:hAnsi="Cambria Math"/>
                    <w:i/>
                    <w:iCs w:val="0"/>
                    <w:vertAlign w:val="baseline"/>
                    <w:lang w:val="en-US"/>
                  </w:rPr>
                </m:ctrlPr>
              </m:sub>
            </m:sSub>
            <m:ctrlPr>
              <w:rPr>
                <w:rFonts w:hint="default" w:ascii="Cambria Math" w:hAnsi="Cambria Math"/>
                <w:i/>
                <w:iCs w:val="0"/>
                <w:vertAlign w:val="baseline"/>
                <w:lang w:val="en-US" w:eastAsia="zh-CN"/>
              </w:rPr>
            </m:ctrlPr>
          </m:num>
          <m:den>
            <m:r>
              <m:rPr/>
              <w:rPr>
                <w:rFonts w:hint="default" w:ascii="Cambria Math" w:hAnsi="Cambria Math"/>
                <w:vertAlign w:val="baseline"/>
                <w:lang w:val="en-US" w:eastAsia="zh-CN"/>
              </w:rPr>
              <m:t>1+</m:t>
            </m:r>
            <m:sSup>
              <m:sSupPr>
                <m:ctrlPr>
                  <w:rPr>
                    <w:rFonts w:hint="default" w:ascii="Cambria Math" w:hAnsi="Cambria Math"/>
                    <w:i/>
                    <w:iCs w:val="0"/>
                    <w:vertAlign w:val="baseline"/>
                    <w:lang w:val="en-US" w:eastAsia="zh-CN"/>
                  </w:rPr>
                </m:ctrlPr>
              </m:sSupPr>
              <m:e>
                <m:d>
                  <m:dPr>
                    <m:ctrlPr>
                      <w:rPr>
                        <w:rFonts w:hint="default" w:ascii="Cambria Math" w:hAnsi="Cambria Math"/>
                        <w:i/>
                        <w:iCs w:val="0"/>
                        <w:vertAlign w:val="baseline"/>
                        <w:lang w:val="en-US" w:eastAsia="zh-CN"/>
                      </w:rPr>
                    </m:ctrlPr>
                  </m:dPr>
                  <m:e>
                    <m:r>
                      <m:rPr/>
                      <w:rPr>
                        <w:rFonts w:hint="default" w:ascii="Cambria Math" w:hAnsi="Cambria Math"/>
                        <w:vertAlign w:val="baseline"/>
                        <w:lang w:val="en-US" w:eastAsia="zh-CN"/>
                      </w:rPr>
                      <m:t>i</m:t>
                    </m:r>
                    <m:r>
                      <m:rPr/>
                      <w:rPr>
                        <w:rFonts w:ascii="Cambria Math" w:hAnsi="Cambria Math"/>
                        <w:vertAlign w:val="baseline"/>
                        <w:lang w:val="en-US"/>
                      </w:rPr>
                      <m:t>ω</m:t>
                    </m:r>
                    <m:r>
                      <m:rPr/>
                      <w:rPr>
                        <w:rFonts w:hint="default" w:ascii="Cambria Math" w:hAnsi="Cambria Math"/>
                        <w:vertAlign w:val="baseline"/>
                        <w:lang w:val="en-US" w:eastAsia="zh-CN"/>
                      </w:rPr>
                      <m:t>t</m:t>
                    </m:r>
                    <m:ctrlPr>
                      <w:rPr>
                        <w:rFonts w:hint="default" w:ascii="Cambria Math" w:hAnsi="Cambria Math"/>
                        <w:i/>
                        <w:iCs w:val="0"/>
                        <w:vertAlign w:val="baseline"/>
                        <w:lang w:val="en-US" w:eastAsia="zh-CN"/>
                      </w:rPr>
                    </m:ctrlPr>
                  </m:e>
                </m:d>
                <m:ctrlPr>
                  <w:rPr>
                    <w:rFonts w:hint="default" w:ascii="Cambria Math" w:hAnsi="Cambria Math"/>
                    <w:i/>
                    <w:iCs w:val="0"/>
                    <w:vertAlign w:val="baseline"/>
                    <w:lang w:val="en-US" w:eastAsia="zh-CN"/>
                  </w:rPr>
                </m:ctrlPr>
              </m:e>
              <m:sup>
                <m:r>
                  <m:rPr/>
                  <w:rPr>
                    <w:rFonts w:hint="default" w:ascii="Cambria Math" w:hAnsi="Cambria Math"/>
                    <w:vertAlign w:val="baseline"/>
                    <w:lang w:val="en-US" w:eastAsia="zh-CN"/>
                  </w:rPr>
                  <m:t>1−</m:t>
                </m:r>
                <m:r>
                  <m:rPr/>
                  <w:rPr>
                    <w:rFonts w:ascii="Cambria Math" w:hAnsi="Cambria Math"/>
                    <w:vertAlign w:val="baseline"/>
                    <w:lang w:val="en-US"/>
                  </w:rPr>
                  <m:t>α</m:t>
                </m:r>
                <m:ctrlPr>
                  <w:rPr>
                    <w:rFonts w:hint="default" w:ascii="Cambria Math" w:hAnsi="Cambria Math"/>
                    <w:i/>
                    <w:iCs w:val="0"/>
                    <w:vertAlign w:val="baseline"/>
                    <w:lang w:val="en-US" w:eastAsia="zh-CN"/>
                  </w:rPr>
                </m:ctrlPr>
              </m:sup>
            </m:sSup>
            <m:ctrlPr>
              <w:rPr>
                <w:rFonts w:hint="default" w:ascii="Cambria Math" w:hAnsi="Cambria Math"/>
                <w:i/>
                <w:iCs w:val="0"/>
                <w:vertAlign w:val="baseline"/>
                <w:lang w:val="en-US" w:eastAsia="zh-CN"/>
              </w:rPr>
            </m:ctrlPr>
          </m:den>
        </m:f>
        <m:r>
          <m:rPr/>
          <w:rPr>
            <w:rFonts w:hint="default" w:ascii="Cambria Math" w:hAnsi="Cambria Math"/>
            <w:vertAlign w:val="baseline"/>
            <w:lang w:val="en-US" w:eastAsia="zh-CN"/>
          </w:rPr>
          <m:t>−i</m:t>
        </m:r>
        <m:f>
          <m:fPr>
            <m:ctrlPr>
              <w:rPr>
                <w:rFonts w:hint="default" w:ascii="Cambria Math" w:hAnsi="Cambria Math"/>
                <w:i/>
                <w:iCs w:val="0"/>
                <w:vertAlign w:val="baseline"/>
                <w:lang w:val="en-US" w:eastAsia="zh-CN"/>
              </w:rPr>
            </m:ctrlPr>
          </m:fPr>
          <m:num>
            <m:r>
              <m:rPr/>
              <w:rPr>
                <w:rFonts w:ascii="Cambria Math" w:hAnsi="Cambria Math"/>
                <w:vertAlign w:val="baseline"/>
                <w:lang w:val="en-US"/>
              </w:rPr>
              <m:t>σ</m:t>
            </m:r>
            <m:ctrlPr>
              <w:rPr>
                <w:rFonts w:hint="default" w:ascii="Cambria Math" w:hAnsi="Cambria Math"/>
                <w:i/>
                <w:iCs w:val="0"/>
                <w:vertAlign w:val="baseline"/>
                <w:lang w:val="en-US" w:eastAsia="zh-CN"/>
              </w:rPr>
            </m:ctrlPr>
          </m:num>
          <m:den>
            <m:r>
              <m:rPr/>
              <w:rPr>
                <w:rFonts w:ascii="Cambria Math" w:hAnsi="Cambria Math"/>
                <w:vertAlign w:val="baseline"/>
                <w:lang w:val="en-US"/>
              </w:rPr>
              <m:t>ω</m:t>
            </m:r>
            <m:sSub>
              <m:sSubPr>
                <m:ctrlPr>
                  <w:rPr>
                    <w:rFonts w:ascii="Cambria Math" w:hAnsi="Cambria Math"/>
                    <w:i/>
                    <w:iCs w:val="0"/>
                    <w:vertAlign w:val="baseline"/>
                    <w:lang w:val="en-US"/>
                  </w:rPr>
                </m:ctrlPr>
              </m:sSubPr>
              <m:e>
                <m:r>
                  <m:rPr/>
                  <w:rPr>
                    <w:rFonts w:hint="default" w:ascii="Cambria Math" w:hAnsi="Cambria Math"/>
                  </w:rPr>
                  <m:t>ε</m:t>
                </m:r>
                <m:ctrlPr>
                  <w:rPr>
                    <w:rFonts w:ascii="Cambria Math" w:hAnsi="Cambria Math"/>
                    <w:i/>
                    <w:iCs w:val="0"/>
                    <w:vertAlign w:val="baseline"/>
                    <w:lang w:val="en-US"/>
                  </w:rPr>
                </m:ctrlPr>
              </m:e>
              <m:sub>
                <m:r>
                  <m:rPr/>
                  <w:rPr>
                    <w:rFonts w:hint="default" w:ascii="Cambria Math" w:hAnsi="Cambria Math"/>
                    <w:vertAlign w:val="baseline"/>
                    <w:lang w:val="en-US" w:eastAsia="zh-CN"/>
                  </w:rPr>
                  <m:t>0</m:t>
                </m:r>
                <m:ctrlPr>
                  <w:rPr>
                    <w:rFonts w:ascii="Cambria Math" w:hAnsi="Cambria Math"/>
                    <w:i/>
                    <w:iCs w:val="0"/>
                    <w:vertAlign w:val="baseline"/>
                    <w:lang w:val="en-US"/>
                  </w:rPr>
                </m:ctrlPr>
              </m:sub>
            </m:sSub>
            <m:ctrlPr>
              <w:rPr>
                <w:rFonts w:hint="default" w:ascii="Cambria Math" w:hAnsi="Cambria Math"/>
                <w:i/>
                <w:iCs w:val="0"/>
                <w:vertAlign w:val="baseline"/>
                <w:lang w:val="en-US" w:eastAsia="zh-CN"/>
              </w:rPr>
            </m:ctrlPr>
          </m:den>
        </m:f>
      </m:oMath>
    </w:p>
    <w:p w14:paraId="17330CA9">
      <w:pPr>
        <w:bidi w:val="0"/>
        <w:rPr>
          <w:rFonts w:hint="default" w:hAnsi="Cambria Math"/>
          <w:i w:val="0"/>
          <w:iCs w:val="0"/>
          <w:vertAlign w:val="baseline"/>
          <w:lang w:val="en-US" w:eastAsia="zh-CN"/>
        </w:rPr>
      </w:pPr>
      <w:r>
        <w:rPr>
          <w:rFonts w:hint="eastAsia" w:hAnsi="Cambria Math"/>
          <w:i w:val="0"/>
          <w:iCs w:val="0"/>
          <w:vertAlign w:val="baseline"/>
          <w:lang w:val="en-US" w:eastAsia="zh-CN"/>
        </w:rPr>
        <w:t>两尺度模型：粗糙海面发射率为</w:t>
      </w:r>
      <m:oMath>
        <m:r>
          <m:rPr/>
          <w:rPr>
            <w:rFonts w:hint="default" w:ascii="Cambria Math" w:hAnsi="Cambria Math" w:cs="Times New Roman"/>
            <w:kern w:val="2"/>
            <w:sz w:val="21"/>
            <w:szCs w:val="24"/>
            <w:vertAlign w:val="baseline"/>
            <w:lang w:val="en-US" w:eastAsia="zh-CN" w:bidi="ar-SA"/>
          </w:rPr>
          <m:t>e</m:t>
        </m:r>
        <m:d>
          <m:dPr>
            <m:ctrlPr>
              <w:rPr>
                <w:rFonts w:hint="default" w:ascii="Cambria Math" w:hAnsi="Cambria Math" w:cs="Times New Roman"/>
                <w:i/>
                <w:iCs/>
                <w:kern w:val="2"/>
                <w:sz w:val="21"/>
                <w:szCs w:val="24"/>
                <w:vertAlign w:val="baseline"/>
                <w:lang w:val="en-US" w:eastAsia="zh-CN" w:bidi="ar-SA"/>
              </w:rPr>
            </m:ctrlPr>
          </m:dPr>
          <m:e>
            <m:r>
              <m:rPr/>
              <w:rPr>
                <w:rFonts w:ascii="Cambria Math" w:hAnsi="Cambria Math" w:cs="Times New Roman"/>
                <w:kern w:val="2"/>
                <w:sz w:val="21"/>
                <w:szCs w:val="24"/>
                <w:vertAlign w:val="baseline"/>
                <w:lang w:val="en-US" w:bidi="ar-SA"/>
              </w:rPr>
              <m:t>θ</m:t>
            </m:r>
            <m:r>
              <m:rPr/>
              <w:rPr>
                <w:rFonts w:hint="default" w:ascii="Cambria Math" w:hAnsi="Cambria Math" w:cs="Times New Roman"/>
                <w:kern w:val="2"/>
                <w:sz w:val="21"/>
                <w:szCs w:val="24"/>
                <w:vertAlign w:val="baseline"/>
                <w:lang w:val="en-US" w:eastAsia="zh-CN" w:bidi="ar-SA"/>
              </w:rPr>
              <m:t>,f,</m:t>
            </m:r>
            <m:r>
              <m:rPr/>
              <w:rPr>
                <w:rFonts w:ascii="Cambria Math" w:hAnsi="Cambria Math" w:cs="Times New Roman"/>
                <w:kern w:val="2"/>
                <w:sz w:val="21"/>
                <w:szCs w:val="24"/>
                <w:vertAlign w:val="baseline"/>
                <w:lang w:val="en-US" w:bidi="ar-SA"/>
              </w:rPr>
              <m:t>ξ</m:t>
            </m:r>
            <m:r>
              <m:rPr/>
              <w:rPr>
                <w:rFonts w:hint="default" w:ascii="Cambria Math" w:hAnsi="Cambria Math" w:cs="Times New Roman"/>
                <w:kern w:val="2"/>
                <w:sz w:val="21"/>
                <w:szCs w:val="24"/>
                <w:vertAlign w:val="baseline"/>
                <w:lang w:val="en-US" w:eastAsia="zh-CN" w:bidi="ar-SA"/>
              </w:rPr>
              <m:t>,</m:t>
            </m:r>
            <m:sSub>
              <m:sSubPr>
                <m:ctrlPr>
                  <w:rPr>
                    <w:rFonts w:hint="default" w:ascii="Cambria Math" w:hAnsi="Cambria Math" w:cs="Times New Roman"/>
                    <w:i/>
                    <w:iCs/>
                    <w:kern w:val="2"/>
                    <w:sz w:val="21"/>
                    <w:szCs w:val="24"/>
                    <w:vertAlign w:val="baseline"/>
                    <w:lang w:val="en-US" w:eastAsia="zh-CN" w:bidi="ar-SA"/>
                  </w:rPr>
                </m:ctrlPr>
              </m:sSubPr>
              <m:e>
                <m:r>
                  <m:rPr/>
                  <w:rPr>
                    <w:rFonts w:hint="default" w:ascii="Cambria Math" w:hAnsi="Cambria Math" w:cs="Times New Roman"/>
                    <w:kern w:val="2"/>
                    <w:sz w:val="21"/>
                    <w:szCs w:val="24"/>
                    <w:vertAlign w:val="baseline"/>
                    <w:lang w:val="en-US" w:eastAsia="zh-CN" w:bidi="ar-SA"/>
                  </w:rPr>
                  <m:t>T</m:t>
                </m:r>
                <m:ctrlPr>
                  <w:rPr>
                    <w:rFonts w:hint="default" w:ascii="Cambria Math" w:hAnsi="Cambria Math" w:cs="Times New Roman"/>
                    <w:i/>
                    <w:iCs/>
                    <w:kern w:val="2"/>
                    <w:sz w:val="21"/>
                    <w:szCs w:val="24"/>
                    <w:vertAlign w:val="baseline"/>
                    <w:lang w:val="en-US" w:eastAsia="zh-CN" w:bidi="ar-SA"/>
                  </w:rPr>
                </m:ctrlPr>
              </m:e>
              <m:sub>
                <m:r>
                  <m:rPr/>
                  <w:rPr>
                    <w:rFonts w:hint="default" w:ascii="Cambria Math" w:hAnsi="Cambria Math" w:cs="Times New Roman"/>
                    <w:kern w:val="2"/>
                    <w:sz w:val="21"/>
                    <w:szCs w:val="24"/>
                    <w:vertAlign w:val="baseline"/>
                    <w:lang w:val="en-US" w:eastAsia="zh-CN" w:bidi="ar-SA"/>
                  </w:rPr>
                  <m:t>S</m:t>
                </m:r>
                <m:ctrlPr>
                  <w:rPr>
                    <w:rFonts w:hint="default" w:ascii="Cambria Math" w:hAnsi="Cambria Math" w:cs="Times New Roman"/>
                    <w:i/>
                    <w:iCs/>
                    <w:kern w:val="2"/>
                    <w:sz w:val="21"/>
                    <w:szCs w:val="24"/>
                    <w:vertAlign w:val="baseline"/>
                    <w:lang w:val="en-US" w:eastAsia="zh-CN" w:bidi="ar-SA"/>
                  </w:rPr>
                </m:ctrlPr>
              </m:sub>
            </m:sSub>
            <m:r>
              <m:rPr/>
              <w:rPr>
                <w:rFonts w:hint="default" w:ascii="Cambria Math" w:hAnsi="Cambria Math" w:cs="Times New Roman"/>
                <w:kern w:val="2"/>
                <w:sz w:val="21"/>
                <w:szCs w:val="24"/>
                <w:vertAlign w:val="baseline"/>
                <w:lang w:val="en-US" w:eastAsia="zh-CN" w:bidi="ar-SA"/>
              </w:rPr>
              <m:t>,</m:t>
            </m:r>
            <m:sSub>
              <m:sSubPr>
                <m:ctrlPr>
                  <w:rPr>
                    <w:rFonts w:hint="default" w:ascii="Cambria Math" w:hAnsi="Cambria Math" w:cs="Times New Roman"/>
                    <w:i/>
                    <w:iCs/>
                    <w:kern w:val="2"/>
                    <w:sz w:val="21"/>
                    <w:szCs w:val="24"/>
                    <w:vertAlign w:val="baseline"/>
                    <w:lang w:val="en-US" w:eastAsia="zh-CN" w:bidi="ar-SA"/>
                  </w:rPr>
                </m:ctrlPr>
              </m:sSubPr>
              <m:e>
                <m:r>
                  <m:rPr/>
                  <w:rPr>
                    <w:rFonts w:hint="default" w:ascii="Cambria Math" w:hAnsi="Cambria Math" w:cs="Times New Roman"/>
                    <w:kern w:val="2"/>
                    <w:sz w:val="21"/>
                    <w:szCs w:val="24"/>
                    <w:vertAlign w:val="baseline"/>
                    <w:lang w:val="en-US" w:eastAsia="zh-CN" w:bidi="ar-SA"/>
                  </w:rPr>
                  <m:t>S</m:t>
                </m:r>
                <m:ctrlPr>
                  <w:rPr>
                    <w:rFonts w:hint="default" w:ascii="Cambria Math" w:hAnsi="Cambria Math" w:cs="Times New Roman"/>
                    <w:i/>
                    <w:iCs/>
                    <w:kern w:val="2"/>
                    <w:sz w:val="21"/>
                    <w:szCs w:val="24"/>
                    <w:vertAlign w:val="baseline"/>
                    <w:lang w:val="en-US" w:eastAsia="zh-CN" w:bidi="ar-SA"/>
                  </w:rPr>
                </m:ctrlPr>
              </m:e>
              <m:sub>
                <m:r>
                  <m:rPr/>
                  <w:rPr>
                    <w:rFonts w:hint="default" w:ascii="Cambria Math" w:hAnsi="Cambria Math" w:cs="Times New Roman"/>
                    <w:kern w:val="2"/>
                    <w:sz w:val="21"/>
                    <w:szCs w:val="24"/>
                    <w:vertAlign w:val="baseline"/>
                    <w:lang w:val="en-US" w:eastAsia="zh-CN" w:bidi="ar-SA"/>
                  </w:rPr>
                  <m:t>S</m:t>
                </m:r>
                <m:ctrlPr>
                  <w:rPr>
                    <w:rFonts w:hint="default" w:ascii="Cambria Math" w:hAnsi="Cambria Math" w:cs="Times New Roman"/>
                    <w:i/>
                    <w:iCs/>
                    <w:kern w:val="2"/>
                    <w:sz w:val="21"/>
                    <w:szCs w:val="24"/>
                    <w:vertAlign w:val="baseline"/>
                    <w:lang w:val="en-US" w:eastAsia="zh-CN" w:bidi="ar-SA"/>
                  </w:rPr>
                </m:ctrlPr>
              </m:sub>
            </m:sSub>
            <m:r>
              <m:rPr/>
              <w:rPr>
                <w:rFonts w:hint="default" w:ascii="Cambria Math" w:hAnsi="Cambria Math" w:cs="Times New Roman"/>
                <w:kern w:val="2"/>
                <w:sz w:val="21"/>
                <w:szCs w:val="24"/>
                <w:vertAlign w:val="baseline"/>
                <w:lang w:val="en-US" w:eastAsia="zh-CN" w:bidi="ar-SA"/>
              </w:rPr>
              <m:t>,</m:t>
            </m:r>
            <m:sSub>
              <m:sSubPr>
                <m:ctrlPr>
                  <w:rPr>
                    <w:rFonts w:hint="default" w:ascii="Cambria Math" w:hAnsi="Cambria Math" w:cs="Times New Roman"/>
                    <w:i/>
                    <w:iCs/>
                    <w:kern w:val="2"/>
                    <w:sz w:val="21"/>
                    <w:szCs w:val="24"/>
                    <w:vertAlign w:val="baseline"/>
                    <w:lang w:val="en-US" w:eastAsia="zh-CN" w:bidi="ar-SA"/>
                  </w:rPr>
                </m:ctrlPr>
              </m:sSubPr>
              <m:e>
                <m:r>
                  <m:rPr/>
                  <w:rPr>
                    <w:rFonts w:hint="default" w:ascii="Cambria Math" w:hAnsi="Cambria Math" w:cs="Times New Roman"/>
                    <w:kern w:val="2"/>
                    <w:sz w:val="21"/>
                    <w:szCs w:val="24"/>
                    <w:vertAlign w:val="baseline"/>
                    <w:lang w:val="en-US" w:eastAsia="zh-CN" w:bidi="ar-SA"/>
                  </w:rPr>
                  <m:t>U</m:t>
                </m:r>
                <m:ctrlPr>
                  <w:rPr>
                    <w:rFonts w:hint="default" w:ascii="Cambria Math" w:hAnsi="Cambria Math" w:cs="Times New Roman"/>
                    <w:i/>
                    <w:iCs/>
                    <w:kern w:val="2"/>
                    <w:sz w:val="21"/>
                    <w:szCs w:val="24"/>
                    <w:vertAlign w:val="baseline"/>
                    <w:lang w:val="en-US" w:eastAsia="zh-CN" w:bidi="ar-SA"/>
                  </w:rPr>
                </m:ctrlPr>
              </m:e>
              <m:sub>
                <m:r>
                  <m:rPr/>
                  <w:rPr>
                    <w:rFonts w:hint="default" w:ascii="Cambria Math" w:hAnsi="Cambria Math" w:cs="Times New Roman"/>
                    <w:kern w:val="2"/>
                    <w:sz w:val="21"/>
                    <w:szCs w:val="24"/>
                    <w:vertAlign w:val="baseline"/>
                    <w:lang w:val="en-US" w:eastAsia="zh-CN" w:bidi="ar-SA"/>
                  </w:rPr>
                  <m:t>10</m:t>
                </m:r>
                <m:ctrlPr>
                  <w:rPr>
                    <w:rFonts w:hint="default" w:ascii="Cambria Math" w:hAnsi="Cambria Math" w:cs="Times New Roman"/>
                    <w:i/>
                    <w:iCs/>
                    <w:kern w:val="2"/>
                    <w:sz w:val="21"/>
                    <w:szCs w:val="24"/>
                    <w:vertAlign w:val="baseline"/>
                    <w:lang w:val="en-US" w:eastAsia="zh-CN" w:bidi="ar-SA"/>
                  </w:rPr>
                </m:ctrlPr>
              </m:sub>
            </m:sSub>
            <m:r>
              <m:rPr/>
              <w:rPr>
                <w:rFonts w:hint="default" w:ascii="Cambria Math" w:hAnsi="Cambria Math" w:cs="Times New Roman"/>
                <w:kern w:val="2"/>
                <w:sz w:val="21"/>
                <w:szCs w:val="24"/>
                <w:vertAlign w:val="baseline"/>
                <w:lang w:val="en-US" w:eastAsia="zh-CN" w:bidi="ar-SA"/>
              </w:rPr>
              <m:t>,</m:t>
            </m:r>
            <m:r>
              <m:rPr/>
              <w:rPr>
                <w:rFonts w:ascii="Cambria Math" w:hAnsi="Cambria Math" w:cs="Times New Roman"/>
                <w:kern w:val="2"/>
                <w:sz w:val="21"/>
                <w:szCs w:val="24"/>
                <w:vertAlign w:val="baseline"/>
                <w:lang w:val="en-US" w:bidi="ar-SA"/>
              </w:rPr>
              <m:t>φ</m:t>
            </m:r>
            <m:ctrlPr>
              <w:rPr>
                <w:rFonts w:hint="default" w:ascii="Cambria Math" w:hAnsi="Cambria Math" w:cs="Times New Roman"/>
                <w:i/>
                <w:iCs/>
                <w:kern w:val="2"/>
                <w:sz w:val="21"/>
                <w:szCs w:val="24"/>
                <w:vertAlign w:val="baseline"/>
                <w:lang w:val="en-US" w:eastAsia="zh-CN" w:bidi="ar-SA"/>
              </w:rPr>
            </m:ctrlPr>
          </m:e>
        </m:d>
      </m:oMath>
    </w:p>
    <w:p w14:paraId="48071687">
      <w:pPr>
        <w:bidi w:val="0"/>
        <w:rPr>
          <w:rFonts w:hint="eastAsia"/>
          <w:lang w:val="en-US" w:eastAsia="zh-CN"/>
        </w:rPr>
      </w:pPr>
      <w:r>
        <w:rPr>
          <w:rFonts w:hint="eastAsia"/>
          <w:lang w:val="en-US" w:eastAsia="zh-CN"/>
        </w:rPr>
        <w:t>1129 P16、P22；卫星海洋学P207~212</w:t>
      </w:r>
    </w:p>
    <w:p w14:paraId="4C01B81F">
      <w:pPr>
        <w:bidi w:val="0"/>
        <w:rPr>
          <w:rFonts w:hint="default"/>
          <w:lang w:val="en-US" w:eastAsia="zh-CN"/>
        </w:rPr>
      </w:pPr>
    </w:p>
    <w:p w14:paraId="33984225">
      <w:pPr>
        <w:bidi w:val="0"/>
        <w:ind w:left="0" w:leftChars="0" w:firstLine="0" w:firstLineChars="0"/>
        <w:rPr>
          <w:rFonts w:hint="default" w:eastAsia="宋体"/>
          <w:b/>
          <w:bCs/>
          <w:lang w:val="en-US" w:eastAsia="zh-CN"/>
        </w:rPr>
      </w:pPr>
      <w:r>
        <w:rPr>
          <w:b/>
          <w:bCs/>
        </w:rPr>
        <w:t>17. 海洋激光雷达的应用有哪些？（至少列举三种应用系统）</w:t>
      </w:r>
      <w:r>
        <w:rPr>
          <w:rFonts w:hint="eastAsia"/>
          <w:b/>
          <w:bCs/>
          <w:lang w:val="en-US" w:eastAsia="zh-CN"/>
        </w:rPr>
        <w:t>1206 P10</w:t>
      </w:r>
    </w:p>
    <w:p w14:paraId="058A8D77">
      <w:pPr>
        <w:numPr>
          <w:ilvl w:val="0"/>
          <w:numId w:val="3"/>
        </w:numPr>
        <w:bidi w:val="0"/>
        <w:ind w:left="0" w:leftChars="0" w:firstLine="0" w:firstLineChars="0"/>
        <w:rPr>
          <w:rFonts w:hint="eastAsia"/>
          <w:b/>
          <w:bCs/>
        </w:rPr>
      </w:pPr>
      <w:r>
        <w:rPr>
          <w:rFonts w:hint="eastAsia"/>
          <w:b/>
          <w:bCs/>
        </w:rPr>
        <w:t>海洋激光雷达测深系统</w:t>
      </w:r>
      <w:r>
        <w:rPr>
          <w:rFonts w:hint="eastAsia"/>
          <w:b/>
          <w:bCs/>
          <w:lang w:eastAsia="zh-CN"/>
        </w:rPr>
        <w:t>（</w:t>
      </w:r>
      <w:r>
        <w:rPr>
          <w:rFonts w:hint="eastAsia"/>
          <w:b/>
          <w:bCs/>
        </w:rPr>
        <w:t>Bathymetry</w:t>
      </w:r>
      <w:r>
        <w:rPr>
          <w:rFonts w:hint="eastAsia"/>
          <w:b/>
          <w:bCs/>
          <w:lang w:eastAsia="zh-CN"/>
        </w:rPr>
        <w:t>）</w:t>
      </w:r>
    </w:p>
    <w:p w14:paraId="2E4A8DA0">
      <w:pPr>
        <w:bidi w:val="0"/>
        <w:rPr>
          <w:rFonts w:hint="eastAsia" w:eastAsia="宋体"/>
          <w:lang w:eastAsia="zh-CN"/>
        </w:rPr>
      </w:pPr>
      <w:r>
        <w:rPr>
          <w:rFonts w:hint="eastAsia"/>
        </w:rPr>
        <w:t>从二十世纪七八十年代的探索性系统</w:t>
      </w:r>
      <w:r>
        <w:rPr>
          <w:rFonts w:hint="eastAsia"/>
          <w:lang w:eastAsia="zh-CN"/>
        </w:rPr>
        <w:t>，</w:t>
      </w:r>
      <w:r>
        <w:rPr>
          <w:rFonts w:hint="eastAsia"/>
        </w:rPr>
        <w:t>如美国SHOALS和AOL、澳大利亚的WRELADS到后来的LADS</w:t>
      </w:r>
      <w:r>
        <w:rPr>
          <w:rFonts w:hint="eastAsia"/>
          <w:lang w:eastAsia="zh-CN"/>
        </w:rPr>
        <w:t>，</w:t>
      </w:r>
      <w:r>
        <w:rPr>
          <w:rFonts w:hint="eastAsia"/>
        </w:rPr>
        <w:t>加拿大的MK-I 和MK-II等实用型系统的投入使用</w:t>
      </w:r>
      <w:r>
        <w:rPr>
          <w:rFonts w:hint="eastAsia"/>
          <w:lang w:eastAsia="zh-CN"/>
        </w:rPr>
        <w:t>，</w:t>
      </w:r>
      <w:r>
        <w:rPr>
          <w:rFonts w:hint="eastAsia"/>
        </w:rPr>
        <w:t>使得这项技术得到了充分发展</w:t>
      </w:r>
      <w:r>
        <w:rPr>
          <w:rFonts w:hint="eastAsia"/>
          <w:lang w:eastAsia="zh-CN"/>
        </w:rPr>
        <w:t>。</w:t>
      </w:r>
    </w:p>
    <w:p w14:paraId="3B18246B">
      <w:pPr>
        <w:numPr>
          <w:ilvl w:val="0"/>
          <w:numId w:val="3"/>
        </w:numPr>
        <w:bidi w:val="0"/>
        <w:ind w:left="0" w:leftChars="0" w:firstLine="0" w:firstLineChars="0"/>
        <w:rPr>
          <w:rFonts w:hint="eastAsia"/>
          <w:b/>
          <w:bCs/>
        </w:rPr>
      </w:pPr>
      <w:r>
        <w:rPr>
          <w:rFonts w:hint="eastAsia"/>
          <w:b/>
          <w:bCs/>
        </w:rPr>
        <w:t>海洋水体参数测量系统（Water column parameters）</w:t>
      </w:r>
    </w:p>
    <w:p w14:paraId="7F0656E7">
      <w:pPr>
        <w:bidi w:val="0"/>
        <w:rPr>
          <w:rFonts w:hint="eastAsia"/>
        </w:rPr>
      </w:pPr>
      <w:r>
        <w:rPr>
          <w:rFonts w:hint="eastAsia"/>
        </w:rPr>
        <w:t>主要针对海洋水体中的叶绿素</w:t>
      </w:r>
      <w:r>
        <w:rPr>
          <w:rFonts w:hint="eastAsia"/>
          <w:lang w:eastAsia="zh-CN"/>
        </w:rPr>
        <w:t>（</w:t>
      </w:r>
      <w:r>
        <w:rPr>
          <w:rFonts w:hint="eastAsia"/>
          <w:lang w:val="en-US" w:eastAsia="zh-CN"/>
        </w:rPr>
        <w:t>Chl</w:t>
      </w:r>
      <w:r>
        <w:rPr>
          <w:rFonts w:hint="eastAsia"/>
          <w:lang w:eastAsia="zh-CN"/>
        </w:rPr>
        <w:t>）</w:t>
      </w:r>
      <w:r>
        <w:rPr>
          <w:rFonts w:hint="eastAsia"/>
        </w:rPr>
        <w:t>、</w:t>
      </w:r>
      <w:r>
        <w:rPr>
          <w:rFonts w:hint="eastAsia"/>
          <w:lang w:val="en-US" w:eastAsia="zh-CN"/>
        </w:rPr>
        <w:t>有色溶解性有机质</w:t>
      </w:r>
      <w:r>
        <w:rPr>
          <w:rFonts w:hint="eastAsia"/>
          <w:lang w:eastAsia="zh-CN"/>
        </w:rPr>
        <w:t>（</w:t>
      </w:r>
      <w:r>
        <w:rPr>
          <w:rFonts w:hint="eastAsia"/>
        </w:rPr>
        <w:t>CDOM</w:t>
      </w:r>
      <w:r>
        <w:rPr>
          <w:rFonts w:hint="eastAsia"/>
          <w:lang w:eastAsia="zh-CN"/>
        </w:rPr>
        <w:t>）</w:t>
      </w:r>
      <w:r>
        <w:rPr>
          <w:rFonts w:hint="eastAsia"/>
        </w:rPr>
        <w:t>浓度，以及水体光学特性参数的测量。</w:t>
      </w:r>
    </w:p>
    <w:p w14:paraId="31BB68C5">
      <w:pPr>
        <w:numPr>
          <w:ilvl w:val="0"/>
          <w:numId w:val="3"/>
        </w:numPr>
        <w:bidi w:val="0"/>
        <w:ind w:left="0" w:leftChars="0" w:firstLine="0" w:firstLineChars="0"/>
        <w:rPr>
          <w:rFonts w:hint="eastAsia"/>
          <w:b/>
          <w:bCs/>
        </w:rPr>
      </w:pPr>
      <w:r>
        <w:rPr>
          <w:rFonts w:hint="eastAsia"/>
          <w:b/>
          <w:bCs/>
        </w:rPr>
        <w:t>海洋污染调查（Pollution survey）</w:t>
      </w:r>
    </w:p>
    <w:p w14:paraId="3AA914E7">
      <w:pPr>
        <w:bidi w:val="0"/>
        <w:rPr>
          <w:rFonts w:hint="eastAsia"/>
        </w:rPr>
      </w:pPr>
      <w:r>
        <w:rPr>
          <w:rFonts w:hint="eastAsia"/>
        </w:rPr>
        <w:t>目前应用面最为广泛的是海表溢油和赤潮监测。</w:t>
      </w:r>
    </w:p>
    <w:p w14:paraId="2C4B7089">
      <w:pPr>
        <w:bidi w:val="0"/>
        <w:rPr>
          <w:rFonts w:hint="eastAsia"/>
        </w:rPr>
      </w:pPr>
    </w:p>
    <w:p w14:paraId="27472CFE">
      <w:pPr>
        <w:bidi w:val="0"/>
        <w:ind w:left="0" w:leftChars="0" w:firstLine="0" w:firstLineChars="0"/>
        <w:rPr>
          <w:rFonts w:hint="default"/>
          <w:b/>
          <w:bCs/>
          <w:lang w:val="en-US"/>
        </w:rPr>
      </w:pPr>
      <w:r>
        <w:rPr>
          <w:b/>
          <w:bCs/>
        </w:rPr>
        <w:t>18. 参考下图简述SHOALS系统的测深原理</w:t>
      </w:r>
      <w:r>
        <w:rPr>
          <w:rFonts w:hint="eastAsia"/>
          <w:b/>
          <w:bCs/>
          <w:lang w:val="en-US" w:eastAsia="zh-CN"/>
        </w:rPr>
        <w:t xml:space="preserve"> 1206 P17</w:t>
      </w:r>
    </w:p>
    <w:p w14:paraId="2667FC60">
      <w:pPr>
        <w:bidi w:val="0"/>
      </w:pPr>
      <w:r>
        <w:drawing>
          <wp:inline distT="0" distB="0" distL="0" distR="0">
            <wp:extent cx="5274310" cy="3910330"/>
            <wp:effectExtent l="0" t="0" r="8890" b="1270"/>
            <wp:docPr id="10" name="图片 10" descr="SHO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HOALS 1"/>
                    <pic:cNvPicPr>
                      <a:picLocks noChangeAspect="1" noChangeArrowheads="1"/>
                    </pic:cNvPicPr>
                  </pic:nvPicPr>
                  <pic:blipFill>
                    <a:blip r:embed="rId6" cstate="print"/>
                    <a:srcRect/>
                    <a:stretch>
                      <a:fillRect/>
                    </a:stretch>
                  </pic:blipFill>
                  <pic:spPr>
                    <a:xfrm>
                      <a:off x="0" y="0"/>
                      <a:ext cx="5274310" cy="3910559"/>
                    </a:xfrm>
                    <a:prstGeom prst="rect">
                      <a:avLst/>
                    </a:prstGeom>
                    <a:noFill/>
                    <a:ln w="9525">
                      <a:noFill/>
                      <a:miter lim="800000"/>
                      <a:headEnd/>
                      <a:tailEnd/>
                    </a:ln>
                  </pic:spPr>
                </pic:pic>
              </a:graphicData>
            </a:graphic>
          </wp:inline>
        </w:drawing>
      </w:r>
    </w:p>
    <w:p w14:paraId="49780384">
      <w:pPr>
        <w:bidi w:val="0"/>
      </w:pPr>
      <w:r>
        <w:rPr>
          <w:rFonts w:hint="eastAsia"/>
        </w:rPr>
        <w:t>SHOALS同时发射两束不同波长的激光脉冲射向水面，红光</w:t>
      </w:r>
      <w:r>
        <w:rPr>
          <w:rFonts w:hint="eastAsia"/>
          <w:lang w:val="en-US" w:eastAsia="zh-CN"/>
        </w:rPr>
        <w:t>1064nm</w:t>
      </w:r>
      <w:r>
        <w:rPr>
          <w:rFonts w:hint="eastAsia"/>
        </w:rPr>
        <w:t>在水面被直</w:t>
      </w:r>
      <w:r>
        <w:rPr>
          <w:rFonts w:hint="eastAsia"/>
          <w:lang w:val="en-US" w:eastAsia="zh-CN"/>
        </w:rPr>
        <w:t>接</w:t>
      </w:r>
      <w:r>
        <w:rPr>
          <w:rFonts w:hint="eastAsia"/>
        </w:rPr>
        <w:t>反射回，而蓝绿光</w:t>
      </w:r>
      <w:r>
        <w:rPr>
          <w:rFonts w:hint="eastAsia"/>
          <w:lang w:val="en-US" w:eastAsia="zh-CN"/>
        </w:rPr>
        <w:t>532nm</w:t>
      </w:r>
      <w:r>
        <w:rPr>
          <w:rFonts w:hint="eastAsia"/>
        </w:rPr>
        <w:t>在穿透水底后被海底反射回，这两个光束的接收时间差即为水的深度。</w:t>
      </w:r>
    </w:p>
    <w:p w14:paraId="6608AE8E">
      <w:pPr>
        <w:bidi w:val="0"/>
      </w:pPr>
      <w:bookmarkStart w:id="0" w:name="_GoBack"/>
      <w:bookmarkEnd w:id="0"/>
    </w:p>
    <w:p w14:paraId="409B6EA1">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1EA5A"/>
    <w:multiLevelType w:val="singleLevel"/>
    <w:tmpl w:val="0711EA5A"/>
    <w:lvl w:ilvl="0" w:tentative="0">
      <w:start w:val="1"/>
      <w:numFmt w:val="decimal"/>
      <w:suff w:val="nothing"/>
      <w:lvlText w:val="（%1）"/>
      <w:lvlJc w:val="left"/>
    </w:lvl>
  </w:abstractNum>
  <w:abstractNum w:abstractNumId="1">
    <w:nsid w:val="0CA22E01"/>
    <w:multiLevelType w:val="singleLevel"/>
    <w:tmpl w:val="0CA22E01"/>
    <w:lvl w:ilvl="0" w:tentative="0">
      <w:start w:val="1"/>
      <w:numFmt w:val="decimal"/>
      <w:pStyle w:val="8"/>
      <w:lvlText w:val="[%1]."/>
      <w:lvlJc w:val="left"/>
      <w:pPr>
        <w:tabs>
          <w:tab w:val="left" w:pos="312"/>
        </w:tabs>
        <w:ind w:left="0" w:firstLine="0"/>
      </w:pPr>
    </w:lvl>
  </w:abstractNum>
  <w:abstractNum w:abstractNumId="2">
    <w:nsid w:val="7BD18584"/>
    <w:multiLevelType w:val="singleLevel"/>
    <w:tmpl w:val="7BD18584"/>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A2244"/>
    <w:rsid w:val="07C002DD"/>
    <w:rsid w:val="0BBF7E33"/>
    <w:rsid w:val="0CA072BC"/>
    <w:rsid w:val="0D5F2CC7"/>
    <w:rsid w:val="0E511C4A"/>
    <w:rsid w:val="18087679"/>
    <w:rsid w:val="193A0A0A"/>
    <w:rsid w:val="1C77655F"/>
    <w:rsid w:val="22403F9F"/>
    <w:rsid w:val="24880BFE"/>
    <w:rsid w:val="250E00EC"/>
    <w:rsid w:val="28D421DF"/>
    <w:rsid w:val="2BE44063"/>
    <w:rsid w:val="31520ED9"/>
    <w:rsid w:val="33143C75"/>
    <w:rsid w:val="3445105A"/>
    <w:rsid w:val="34DA2B06"/>
    <w:rsid w:val="39B361B6"/>
    <w:rsid w:val="3A2C52C2"/>
    <w:rsid w:val="3A397100"/>
    <w:rsid w:val="3C0B7B2E"/>
    <w:rsid w:val="47DD0452"/>
    <w:rsid w:val="482D48B6"/>
    <w:rsid w:val="4A185C47"/>
    <w:rsid w:val="4E727C45"/>
    <w:rsid w:val="58B57CAD"/>
    <w:rsid w:val="5964546E"/>
    <w:rsid w:val="5B2B0C6E"/>
    <w:rsid w:val="5E931B1F"/>
    <w:rsid w:val="629A6D03"/>
    <w:rsid w:val="63C77898"/>
    <w:rsid w:val="6B4A119A"/>
    <w:rsid w:val="6D5E2BAD"/>
    <w:rsid w:val="6D5F447B"/>
    <w:rsid w:val="723B526F"/>
    <w:rsid w:val="784D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b/>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参考文献"/>
    <w:basedOn w:val="1"/>
    <w:qFormat/>
    <w:uiPriority w:val="0"/>
    <w:pPr>
      <w:numPr>
        <w:ilvl w:val="0"/>
        <w:numId w:val="1"/>
      </w:numPr>
      <w:ind w:firstLine="0" w:firstLineChars="0"/>
    </w:pPr>
    <w:rPr>
      <w:rFonts w:cs="微软雅黑"/>
      <w:sz w:val="15"/>
      <w:szCs w:val="12"/>
      <w:shd w:val="clear" w:fil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3082</Words>
  <Characters>3427</Characters>
  <Lines>1</Lines>
  <Paragraphs>1</Paragraphs>
  <TotalTime>31</TotalTime>
  <ScaleCrop>false</ScaleCrop>
  <LinksUpToDate>false</LinksUpToDate>
  <CharactersWithSpaces>3476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2024-09-07T08:58:00Z</dcterms:created>
  <dc:creator>Legend</dc:creator>
  <cp:lastModifiedBy>良友冰室</cp:lastModifiedBy>
  <dcterms:modified xsi:type="dcterms:W3CDTF">2024-12-15T16:40:28Z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CDC05C126EA24AC4B05B2E4A0943641F_12</vt:lpwstr>
  </property>
</Properties>
</file>