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B5A25" w14:textId="77777777" w:rsidR="00F4020E" w:rsidRDefault="00F4020E" w:rsidP="00F4020E">
      <w:pPr>
        <w:wordWrap/>
        <w:spacing w:after="0" w:line="276" w:lineRule="auto"/>
        <w:jc w:val="right"/>
        <w:rPr>
          <w:rFonts w:ascii="Arial" w:hAnsi="Arial" w:cs="Arial"/>
          <w:b/>
          <w:bCs/>
        </w:rPr>
      </w:pPr>
    </w:p>
    <w:p w14:paraId="62D64D2A" w14:textId="47D04E62" w:rsidR="00F4020E" w:rsidRPr="00F4020E" w:rsidRDefault="00F4020E" w:rsidP="00F4020E">
      <w:pPr>
        <w:wordWrap/>
        <w:spacing w:after="0" w:line="276" w:lineRule="auto"/>
        <w:jc w:val="right"/>
        <w:rPr>
          <w:rFonts w:ascii="Arial" w:hAnsi="Arial" w:cs="Arial"/>
        </w:rPr>
      </w:pPr>
      <w:r w:rsidRPr="00F4020E">
        <w:rPr>
          <w:rFonts w:ascii="Arial" w:hAnsi="Arial" w:cs="Arial"/>
        </w:rPr>
        <w:t>Professor W. Bentley MacLeod</w:t>
      </w:r>
    </w:p>
    <w:p w14:paraId="669AFA9C" w14:textId="451D77F5" w:rsidR="00F4020E" w:rsidRDefault="00F4020E" w:rsidP="00F4020E">
      <w:pPr>
        <w:wordWrap/>
        <w:spacing w:after="0" w:line="276" w:lineRule="auto"/>
        <w:jc w:val="right"/>
        <w:rPr>
          <w:rFonts w:ascii="Arial" w:hAnsi="Arial" w:cs="Arial"/>
        </w:rPr>
      </w:pPr>
      <w:r w:rsidRPr="00F4020E">
        <w:rPr>
          <w:rFonts w:ascii="Arial" w:hAnsi="Arial" w:cs="Arial"/>
        </w:rPr>
        <w:t>R</w:t>
      </w:r>
      <w:r>
        <w:rPr>
          <w:rFonts w:ascii="Arial" w:hAnsi="Arial" w:cs="Arial"/>
        </w:rPr>
        <w:t xml:space="preserve">esearch </w:t>
      </w:r>
      <w:r w:rsidRPr="00F4020E">
        <w:rPr>
          <w:rFonts w:ascii="Arial" w:hAnsi="Arial" w:cs="Arial"/>
        </w:rPr>
        <w:t>A</w:t>
      </w:r>
      <w:r>
        <w:rPr>
          <w:rFonts w:ascii="Arial" w:hAnsi="Arial" w:cs="Arial"/>
        </w:rPr>
        <w:t>ssistant</w:t>
      </w:r>
      <w:r w:rsidRPr="00F4020E">
        <w:rPr>
          <w:rFonts w:ascii="Arial" w:hAnsi="Arial" w:cs="Arial"/>
        </w:rPr>
        <w:t>: Hana Kwon</w:t>
      </w:r>
    </w:p>
    <w:p w14:paraId="135C7488" w14:textId="77777777" w:rsidR="00F4020E" w:rsidRPr="00F4020E" w:rsidRDefault="00F4020E" w:rsidP="00F4020E">
      <w:pPr>
        <w:wordWrap/>
        <w:spacing w:after="0" w:line="276" w:lineRule="auto"/>
        <w:jc w:val="right"/>
        <w:rPr>
          <w:rFonts w:ascii="Arial" w:hAnsi="Arial" w:cs="Arial"/>
        </w:rPr>
      </w:pPr>
    </w:p>
    <w:p w14:paraId="7D527EFC" w14:textId="77777777" w:rsidR="004761D6" w:rsidRDefault="004761D6" w:rsidP="00F4020E">
      <w:pPr>
        <w:wordWrap/>
        <w:spacing w:line="276" w:lineRule="auto"/>
        <w:jc w:val="center"/>
        <w:rPr>
          <w:rFonts w:ascii="Arial" w:hAnsi="Arial" w:cs="Arial"/>
          <w:b/>
          <w:bCs/>
        </w:rPr>
      </w:pPr>
    </w:p>
    <w:p w14:paraId="375BD67A" w14:textId="5CEFF9E4" w:rsidR="00F4020E" w:rsidRPr="004761D6" w:rsidRDefault="00F4020E" w:rsidP="00F4020E">
      <w:pPr>
        <w:wordWrap/>
        <w:spacing w:line="276" w:lineRule="auto"/>
        <w:jc w:val="center"/>
        <w:rPr>
          <w:rFonts w:ascii="Arial" w:hAnsi="Arial" w:cs="Arial"/>
          <w:b/>
          <w:bCs/>
          <w:sz w:val="28"/>
          <w:szCs w:val="32"/>
        </w:rPr>
      </w:pPr>
      <w:r w:rsidRPr="004761D6">
        <w:rPr>
          <w:rFonts w:ascii="Arial" w:hAnsi="Arial" w:cs="Arial"/>
          <w:b/>
          <w:bCs/>
          <w:sz w:val="28"/>
          <w:szCs w:val="32"/>
        </w:rPr>
        <w:t>Payoff Distribution by Strategy Category and Game Type</w:t>
      </w:r>
    </w:p>
    <w:p w14:paraId="5EBFDA50" w14:textId="593FE0D5" w:rsidR="00DE6FC1" w:rsidRPr="00DE6FC1" w:rsidRDefault="00DE6FC1" w:rsidP="00DE6FC1">
      <w:pPr>
        <w:wordWrap/>
        <w:spacing w:line="276" w:lineRule="auto"/>
        <w:jc w:val="both"/>
        <w:rPr>
          <w:rFonts w:ascii="Arial" w:hAnsi="Arial" w:cs="Arial"/>
          <w:b/>
          <w:bCs/>
        </w:rPr>
      </w:pPr>
    </w:p>
    <w:p w14:paraId="012729F4" w14:textId="77777777" w:rsidR="00DE6FC1" w:rsidRPr="00DE6FC1" w:rsidRDefault="00DE6FC1" w:rsidP="00DE6FC1">
      <w:pPr>
        <w:wordWrap/>
        <w:spacing w:line="276" w:lineRule="auto"/>
        <w:jc w:val="both"/>
        <w:rPr>
          <w:rFonts w:ascii="Arial" w:hAnsi="Arial" w:cs="Arial"/>
          <w:b/>
          <w:bCs/>
        </w:rPr>
      </w:pPr>
      <w:r w:rsidRPr="00DE6FC1">
        <w:rPr>
          <w:rFonts w:ascii="Arial" w:hAnsi="Arial" w:cs="Arial"/>
          <w:b/>
          <w:bCs/>
        </w:rPr>
        <w:t>Introduction:</w:t>
      </w:r>
    </w:p>
    <w:p w14:paraId="32AF47FE" w14:textId="11C0B0B4" w:rsidR="00BE22C5" w:rsidRPr="00BE22C5" w:rsidRDefault="00BE22C5" w:rsidP="00BE22C5">
      <w:pPr>
        <w:wordWrap/>
        <w:spacing w:line="276" w:lineRule="auto"/>
        <w:jc w:val="both"/>
        <w:rPr>
          <w:rFonts w:ascii="Arial" w:hAnsi="Arial" w:cs="Arial"/>
        </w:rPr>
      </w:pPr>
      <w:r w:rsidRPr="00BE22C5">
        <w:rPr>
          <w:rFonts w:ascii="Arial" w:hAnsi="Arial" w:cs="Arial"/>
        </w:rPr>
        <w:t>This study examines the distribution of average payoffs per game across different strategy categories in both finite and infinite repeated Prisoner's Dilemma games. By analyzing players' behaviors and outcomes, we aim to understand how strategic choices influence cooperation and overall payoffs.</w:t>
      </w:r>
      <w:r>
        <w:rPr>
          <w:rFonts w:ascii="Arial" w:hAnsi="Arial" w:cs="Arial"/>
        </w:rPr>
        <w:t xml:space="preserve"> </w:t>
      </w:r>
      <w:r w:rsidRPr="00BE22C5">
        <w:rPr>
          <w:rFonts w:ascii="Arial" w:hAnsi="Arial" w:cs="Arial"/>
        </w:rPr>
        <w:t>The strategies are categorized into:</w:t>
      </w:r>
    </w:p>
    <w:p w14:paraId="3124F754" w14:textId="56DB35E4" w:rsidR="00DE6FC1" w:rsidRPr="00DE6FC1" w:rsidRDefault="00DE6FC1" w:rsidP="00BE22C5">
      <w:pPr>
        <w:pStyle w:val="a6"/>
        <w:numPr>
          <w:ilvl w:val="0"/>
          <w:numId w:val="1"/>
        </w:numPr>
        <w:wordWrap/>
        <w:spacing w:line="276" w:lineRule="auto"/>
        <w:jc w:val="both"/>
        <w:rPr>
          <w:rFonts w:ascii="Arial" w:hAnsi="Arial" w:cs="Arial"/>
        </w:rPr>
      </w:pPr>
      <w:r w:rsidRPr="00DE6FC1">
        <w:rPr>
          <w:rFonts w:ascii="Arial" w:hAnsi="Arial" w:cs="Arial"/>
          <w:b/>
          <w:bCs/>
        </w:rPr>
        <w:t>Only TFT (Tit-for-Tat):</w:t>
      </w:r>
      <w:r w:rsidRPr="00DE6FC1">
        <w:rPr>
          <w:rFonts w:ascii="Arial" w:hAnsi="Arial" w:cs="Arial"/>
        </w:rPr>
        <w:t xml:space="preserve"> </w:t>
      </w:r>
      <w:r w:rsidR="003C0EC2" w:rsidRPr="003C0EC2">
        <w:rPr>
          <w:rFonts w:ascii="Arial" w:hAnsi="Arial" w:cs="Arial"/>
        </w:rPr>
        <w:t>Players whose behavior matches exclusively the Tit-for-Tat (TFT) strategy and no other.</w:t>
      </w:r>
    </w:p>
    <w:p w14:paraId="7231116D" w14:textId="71D86EC9" w:rsidR="00DE6FC1" w:rsidRPr="00DE6FC1" w:rsidRDefault="00DE6FC1" w:rsidP="00DE6FC1">
      <w:pPr>
        <w:pStyle w:val="a6"/>
        <w:numPr>
          <w:ilvl w:val="0"/>
          <w:numId w:val="1"/>
        </w:numPr>
        <w:wordWrap/>
        <w:spacing w:line="276" w:lineRule="auto"/>
        <w:jc w:val="both"/>
        <w:rPr>
          <w:rFonts w:ascii="Arial" w:hAnsi="Arial" w:cs="Arial"/>
        </w:rPr>
      </w:pPr>
      <w:r w:rsidRPr="00DE6FC1">
        <w:rPr>
          <w:rFonts w:ascii="Arial" w:hAnsi="Arial" w:cs="Arial"/>
          <w:b/>
          <w:bCs/>
        </w:rPr>
        <w:t>TFTA:</w:t>
      </w:r>
      <w:r w:rsidRPr="00DE6FC1">
        <w:rPr>
          <w:rFonts w:ascii="Arial" w:hAnsi="Arial" w:cs="Arial"/>
        </w:rPr>
        <w:t xml:space="preserve"> </w:t>
      </w:r>
      <w:r w:rsidR="003C0EC2" w:rsidRPr="003C0EC2">
        <w:rPr>
          <w:rFonts w:ascii="Arial" w:hAnsi="Arial" w:cs="Arial"/>
        </w:rPr>
        <w:t>Players whose behavior aligns with strategies consistent with TFT, including Grim strategies.</w:t>
      </w:r>
    </w:p>
    <w:p w14:paraId="31AA197A" w14:textId="4453F125" w:rsidR="00DE6FC1" w:rsidRPr="00DE6FC1" w:rsidRDefault="00DE6FC1" w:rsidP="00DE6FC1">
      <w:pPr>
        <w:pStyle w:val="a6"/>
        <w:numPr>
          <w:ilvl w:val="0"/>
          <w:numId w:val="1"/>
        </w:numPr>
        <w:wordWrap/>
        <w:spacing w:line="276" w:lineRule="auto"/>
        <w:jc w:val="both"/>
        <w:rPr>
          <w:rFonts w:ascii="Arial" w:hAnsi="Arial" w:cs="Arial"/>
        </w:rPr>
      </w:pPr>
      <w:r w:rsidRPr="00DE6FC1">
        <w:rPr>
          <w:rFonts w:ascii="Arial" w:hAnsi="Arial" w:cs="Arial"/>
          <w:b/>
          <w:bCs/>
        </w:rPr>
        <w:t>All Strategies:</w:t>
      </w:r>
      <w:r w:rsidRPr="00DE6FC1">
        <w:rPr>
          <w:rFonts w:ascii="Arial" w:hAnsi="Arial" w:cs="Arial"/>
        </w:rPr>
        <w:t xml:space="preserve"> </w:t>
      </w:r>
      <w:r w:rsidR="003C0EC2" w:rsidRPr="003C0EC2">
        <w:rPr>
          <w:rFonts w:ascii="Arial" w:hAnsi="Arial" w:cs="Arial"/>
        </w:rPr>
        <w:t>The full set of players, irrespective of strategy adherence.</w:t>
      </w:r>
    </w:p>
    <w:p w14:paraId="61F6C83D" w14:textId="77777777" w:rsidR="00E260F1" w:rsidRDefault="00E260F1" w:rsidP="00923E6B">
      <w:pPr>
        <w:wordWrap/>
        <w:spacing w:line="276" w:lineRule="auto"/>
        <w:jc w:val="both"/>
        <w:rPr>
          <w:rFonts w:ascii="Arial" w:hAnsi="Arial" w:cs="Arial"/>
        </w:rPr>
      </w:pPr>
    </w:p>
    <w:p w14:paraId="4983ACD5" w14:textId="6B2786D5" w:rsidR="00E260F1" w:rsidRDefault="00923E6B" w:rsidP="00923E6B">
      <w:pPr>
        <w:wordWrap/>
        <w:spacing w:line="276" w:lineRule="auto"/>
        <w:jc w:val="both"/>
        <w:rPr>
          <w:rFonts w:ascii="Arial" w:hAnsi="Arial" w:cs="Arial"/>
        </w:rPr>
      </w:pPr>
      <w:r w:rsidRPr="00923E6B">
        <w:rPr>
          <w:rFonts w:ascii="Arial" w:hAnsi="Arial" w:cs="Arial"/>
          <w:b/>
          <w:bCs/>
        </w:rPr>
        <w:t>Figures Overview</w:t>
      </w:r>
      <w:r>
        <w:rPr>
          <w:rFonts w:ascii="Arial" w:hAnsi="Arial" w:cs="Arial"/>
          <w:b/>
          <w:bCs/>
        </w:rPr>
        <w:t xml:space="preserve">: </w:t>
      </w:r>
      <w:r w:rsidR="00B57CD0" w:rsidRPr="00B57CD0">
        <w:rPr>
          <w:rFonts w:ascii="Arial" w:hAnsi="Arial" w:cs="Arial"/>
        </w:rPr>
        <w:t>The provided figures illustrate the payoff distribution across the three strategy categories for both finite and infinite games. These visualizations are designed to explore the behavior and performance of Tit-for-Tat (TFT) and its variants as strategies in repeated Prisoner's Dilemma games.</w:t>
      </w:r>
    </w:p>
    <w:p w14:paraId="2545CE7F" w14:textId="77777777" w:rsidR="00202234" w:rsidRPr="00F4020E" w:rsidRDefault="00202234" w:rsidP="00F4020E">
      <w:pPr>
        <w:pStyle w:val="a6"/>
        <w:numPr>
          <w:ilvl w:val="0"/>
          <w:numId w:val="11"/>
        </w:numPr>
        <w:wordWrap/>
        <w:spacing w:line="276" w:lineRule="auto"/>
        <w:jc w:val="both"/>
        <w:rPr>
          <w:rFonts w:ascii="Arial" w:hAnsi="Arial" w:cs="Arial"/>
        </w:rPr>
      </w:pPr>
      <w:r w:rsidRPr="00F4020E">
        <w:rPr>
          <w:rFonts w:ascii="Arial" w:hAnsi="Arial" w:cs="Arial"/>
          <w:b/>
          <w:bCs/>
        </w:rPr>
        <w:t>Axes:</w:t>
      </w:r>
    </w:p>
    <w:p w14:paraId="020FA8B2" w14:textId="77777777" w:rsidR="00202234" w:rsidRPr="00F4020E" w:rsidRDefault="00202234" w:rsidP="00F4020E">
      <w:pPr>
        <w:pStyle w:val="a6"/>
        <w:numPr>
          <w:ilvl w:val="0"/>
          <w:numId w:val="12"/>
        </w:numPr>
        <w:wordWrap/>
        <w:spacing w:line="276" w:lineRule="auto"/>
        <w:jc w:val="both"/>
        <w:rPr>
          <w:rFonts w:ascii="Arial" w:hAnsi="Arial" w:cs="Arial"/>
        </w:rPr>
      </w:pPr>
      <w:r w:rsidRPr="00F4020E">
        <w:rPr>
          <w:rFonts w:ascii="Arial" w:hAnsi="Arial" w:cs="Arial"/>
          <w:b/>
          <w:bCs/>
        </w:rPr>
        <w:t>Horizontal Axis (X-axis):</w:t>
      </w:r>
      <w:r w:rsidRPr="00F4020E">
        <w:rPr>
          <w:rFonts w:ascii="Arial" w:hAnsi="Arial" w:cs="Arial"/>
        </w:rPr>
        <w:t xml:space="preserve"> Represents the average payoff per game, ranging from negative to positive values.</w:t>
      </w:r>
    </w:p>
    <w:p w14:paraId="2DC75DE0" w14:textId="77777777" w:rsidR="00202234" w:rsidRDefault="00202234" w:rsidP="00F4020E">
      <w:pPr>
        <w:pStyle w:val="a6"/>
        <w:numPr>
          <w:ilvl w:val="0"/>
          <w:numId w:val="12"/>
        </w:numPr>
        <w:wordWrap/>
        <w:spacing w:line="276" w:lineRule="auto"/>
        <w:jc w:val="both"/>
        <w:rPr>
          <w:rFonts w:ascii="Arial" w:hAnsi="Arial" w:cs="Arial"/>
        </w:rPr>
      </w:pPr>
      <w:r w:rsidRPr="00F4020E">
        <w:rPr>
          <w:rFonts w:ascii="Arial" w:hAnsi="Arial" w:cs="Arial"/>
          <w:b/>
          <w:bCs/>
        </w:rPr>
        <w:t>Vertical Axis (Y-axis):</w:t>
      </w:r>
      <w:r w:rsidRPr="00F4020E">
        <w:rPr>
          <w:rFonts w:ascii="Arial" w:hAnsi="Arial" w:cs="Arial"/>
        </w:rPr>
        <w:t xml:space="preserve"> Indicates the frequency of players achieving these average payoffs.</w:t>
      </w:r>
    </w:p>
    <w:p w14:paraId="7B9A54D7" w14:textId="77777777" w:rsidR="00F4020E" w:rsidRPr="00F4020E" w:rsidRDefault="00F4020E" w:rsidP="00F4020E">
      <w:pPr>
        <w:pStyle w:val="a6"/>
        <w:wordWrap/>
        <w:spacing w:line="276" w:lineRule="auto"/>
        <w:ind w:left="1320"/>
        <w:jc w:val="both"/>
        <w:rPr>
          <w:rFonts w:ascii="Arial" w:hAnsi="Arial" w:cs="Arial"/>
        </w:rPr>
      </w:pPr>
    </w:p>
    <w:p w14:paraId="54693078" w14:textId="77777777" w:rsidR="00202234" w:rsidRPr="00F4020E" w:rsidRDefault="00202234" w:rsidP="00F4020E">
      <w:pPr>
        <w:pStyle w:val="a6"/>
        <w:numPr>
          <w:ilvl w:val="0"/>
          <w:numId w:val="11"/>
        </w:numPr>
        <w:wordWrap/>
        <w:spacing w:line="276" w:lineRule="auto"/>
        <w:jc w:val="both"/>
        <w:rPr>
          <w:rFonts w:ascii="Arial" w:hAnsi="Arial" w:cs="Arial"/>
        </w:rPr>
      </w:pPr>
      <w:r w:rsidRPr="00F4020E">
        <w:rPr>
          <w:rFonts w:ascii="Arial" w:hAnsi="Arial" w:cs="Arial"/>
          <w:b/>
          <w:bCs/>
        </w:rPr>
        <w:t>Bars:</w:t>
      </w:r>
    </w:p>
    <w:p w14:paraId="6275511F" w14:textId="77777777" w:rsidR="00202234" w:rsidRPr="00121BC3" w:rsidRDefault="00202234" w:rsidP="00F4020E">
      <w:pPr>
        <w:numPr>
          <w:ilvl w:val="1"/>
          <w:numId w:val="11"/>
        </w:numPr>
        <w:wordWrap/>
        <w:spacing w:line="276" w:lineRule="auto"/>
        <w:jc w:val="both"/>
        <w:rPr>
          <w:rFonts w:ascii="Arial" w:hAnsi="Arial" w:cs="Arial"/>
        </w:rPr>
      </w:pPr>
      <w:r w:rsidRPr="00121BC3">
        <w:rPr>
          <w:rFonts w:ascii="Arial" w:hAnsi="Arial" w:cs="Arial"/>
        </w:rPr>
        <w:t>The histogram displays the distribution of average payoffs for each strategy category:</w:t>
      </w:r>
    </w:p>
    <w:p w14:paraId="49B5F0D2" w14:textId="77777777" w:rsidR="00202234" w:rsidRPr="00121BC3" w:rsidRDefault="00202234" w:rsidP="00F4020E">
      <w:pPr>
        <w:numPr>
          <w:ilvl w:val="2"/>
          <w:numId w:val="13"/>
        </w:numPr>
        <w:wordWrap/>
        <w:spacing w:line="276" w:lineRule="auto"/>
        <w:jc w:val="both"/>
        <w:rPr>
          <w:rFonts w:ascii="Arial" w:hAnsi="Arial" w:cs="Arial"/>
        </w:rPr>
      </w:pPr>
      <w:r w:rsidRPr="00121BC3">
        <w:rPr>
          <w:rFonts w:ascii="Arial" w:hAnsi="Arial" w:cs="Arial"/>
          <w:b/>
          <w:bCs/>
        </w:rPr>
        <w:t>Red Bars:</w:t>
      </w:r>
      <w:r w:rsidRPr="00121BC3">
        <w:rPr>
          <w:rFonts w:ascii="Arial" w:hAnsi="Arial" w:cs="Arial"/>
        </w:rPr>
        <w:t xml:space="preserve"> Only TFT</w:t>
      </w:r>
    </w:p>
    <w:p w14:paraId="63E48AF8" w14:textId="77777777" w:rsidR="00202234" w:rsidRPr="00121BC3" w:rsidRDefault="00202234" w:rsidP="00F4020E">
      <w:pPr>
        <w:numPr>
          <w:ilvl w:val="2"/>
          <w:numId w:val="13"/>
        </w:numPr>
        <w:wordWrap/>
        <w:spacing w:line="276" w:lineRule="auto"/>
        <w:jc w:val="both"/>
        <w:rPr>
          <w:rFonts w:ascii="Arial" w:hAnsi="Arial" w:cs="Arial"/>
        </w:rPr>
      </w:pPr>
      <w:r w:rsidRPr="00121BC3">
        <w:rPr>
          <w:rFonts w:ascii="Arial" w:hAnsi="Arial" w:cs="Arial"/>
          <w:b/>
          <w:bCs/>
        </w:rPr>
        <w:t>Orange Bars:</w:t>
      </w:r>
      <w:r w:rsidRPr="00121BC3">
        <w:rPr>
          <w:rFonts w:ascii="Arial" w:hAnsi="Arial" w:cs="Arial"/>
        </w:rPr>
        <w:t xml:space="preserve"> TFTA</w:t>
      </w:r>
    </w:p>
    <w:p w14:paraId="51B42E66" w14:textId="77777777" w:rsidR="00202234" w:rsidRPr="00923E6B" w:rsidRDefault="00202234" w:rsidP="00F4020E">
      <w:pPr>
        <w:numPr>
          <w:ilvl w:val="2"/>
          <w:numId w:val="13"/>
        </w:numPr>
        <w:wordWrap/>
        <w:spacing w:line="276" w:lineRule="auto"/>
        <w:jc w:val="both"/>
        <w:rPr>
          <w:rFonts w:ascii="Arial" w:hAnsi="Arial" w:cs="Arial"/>
        </w:rPr>
      </w:pPr>
      <w:r w:rsidRPr="00121BC3">
        <w:rPr>
          <w:rFonts w:ascii="Arial" w:hAnsi="Arial" w:cs="Arial"/>
          <w:b/>
          <w:bCs/>
        </w:rPr>
        <w:t>Sky Blue Bars:</w:t>
      </w:r>
      <w:r w:rsidRPr="00121BC3">
        <w:rPr>
          <w:rFonts w:ascii="Arial" w:hAnsi="Arial" w:cs="Arial"/>
        </w:rPr>
        <w:t xml:space="preserve"> All Strategies</w:t>
      </w:r>
    </w:p>
    <w:p w14:paraId="65A03A9B" w14:textId="0ACA186F" w:rsidR="00DE6FC1" w:rsidRDefault="00E260F1" w:rsidP="00E260F1">
      <w:pPr>
        <w:wordWrap/>
        <w:spacing w:line="276" w:lineRule="auto"/>
        <w:jc w:val="center"/>
        <w:rPr>
          <w:rFonts w:ascii="Arial" w:hAnsi="Arial" w:cs="Arial"/>
        </w:rPr>
      </w:pPr>
      <w:r>
        <w:rPr>
          <w:rFonts w:ascii="Arial" w:hAnsi="Arial" w:cs="Arial"/>
          <w:noProof/>
        </w:rPr>
        <w:lastRenderedPageBreak/>
        <w:drawing>
          <wp:inline distT="0" distB="0" distL="0" distR="0" wp14:anchorId="06180CC1" wp14:editId="1BC16F1B">
            <wp:extent cx="5731510" cy="3904615"/>
            <wp:effectExtent l="0" t="0" r="0" b="0"/>
            <wp:docPr id="1909805523" name="그림 9" descr="도표, 스크린샷, 텍스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805523" name="그림 9" descr="도표, 스크린샷, 텍스트, 그래프이(가) 표시된 사진&#10;&#10;자동 생성된 설명"/>
                    <pic:cNvPicPr/>
                  </pic:nvPicPr>
                  <pic:blipFill>
                    <a:blip r:embed="rId6">
                      <a:extLst>
                        <a:ext uri="{28A0092B-C50C-407E-A947-70E740481C1C}">
                          <a14:useLocalDpi xmlns:a14="http://schemas.microsoft.com/office/drawing/2010/main" val="0"/>
                        </a:ext>
                      </a:extLst>
                    </a:blip>
                    <a:stretch>
                      <a:fillRect/>
                    </a:stretch>
                  </pic:blipFill>
                  <pic:spPr>
                    <a:xfrm>
                      <a:off x="0" y="0"/>
                      <a:ext cx="5731510" cy="3904615"/>
                    </a:xfrm>
                    <a:prstGeom prst="rect">
                      <a:avLst/>
                    </a:prstGeom>
                  </pic:spPr>
                </pic:pic>
              </a:graphicData>
            </a:graphic>
          </wp:inline>
        </w:drawing>
      </w:r>
    </w:p>
    <w:p w14:paraId="3EDCC80B" w14:textId="77777777" w:rsidR="00923E6B" w:rsidRPr="00923E6B" w:rsidRDefault="00923E6B" w:rsidP="00202234">
      <w:pPr>
        <w:wordWrap/>
        <w:spacing w:line="276" w:lineRule="auto"/>
        <w:jc w:val="center"/>
        <w:rPr>
          <w:rFonts w:ascii="Arial" w:hAnsi="Arial" w:cs="Arial"/>
        </w:rPr>
      </w:pPr>
      <w:r w:rsidRPr="00923E6B">
        <w:rPr>
          <w:rFonts w:ascii="Arial" w:hAnsi="Arial" w:cs="Arial"/>
          <w:b/>
          <w:bCs/>
        </w:rPr>
        <w:t>Figure 1: Payoff Distribution for Finite Games</w:t>
      </w:r>
    </w:p>
    <w:p w14:paraId="163822A0" w14:textId="77777777" w:rsidR="00202234" w:rsidRDefault="00202234" w:rsidP="00923E6B">
      <w:pPr>
        <w:wordWrap/>
        <w:spacing w:line="276" w:lineRule="auto"/>
        <w:jc w:val="both"/>
        <w:rPr>
          <w:rFonts w:ascii="Arial" w:hAnsi="Arial" w:cs="Arial"/>
          <w:b/>
          <w:bCs/>
        </w:rPr>
      </w:pPr>
    </w:p>
    <w:p w14:paraId="75AABEE3" w14:textId="0F644F05" w:rsidR="00923E6B" w:rsidRDefault="00923E6B" w:rsidP="00923E6B">
      <w:pPr>
        <w:wordWrap/>
        <w:spacing w:line="276" w:lineRule="auto"/>
        <w:jc w:val="both"/>
        <w:rPr>
          <w:rFonts w:ascii="Arial" w:hAnsi="Arial" w:cs="Arial"/>
        </w:rPr>
      </w:pPr>
      <w:r w:rsidRPr="00923E6B">
        <w:rPr>
          <w:rFonts w:ascii="Arial" w:hAnsi="Arial" w:cs="Arial"/>
          <w:b/>
          <w:bCs/>
        </w:rPr>
        <w:t>Description</w:t>
      </w:r>
      <w:r w:rsidRPr="00923E6B">
        <w:rPr>
          <w:rFonts w:ascii="Arial" w:hAnsi="Arial" w:cs="Arial"/>
        </w:rPr>
        <w:t>:</w:t>
      </w:r>
      <w:r>
        <w:rPr>
          <w:rFonts w:ascii="Arial" w:hAnsi="Arial" w:cs="Arial"/>
        </w:rPr>
        <w:t xml:space="preserve"> </w:t>
      </w:r>
      <w:r w:rsidRPr="00923E6B">
        <w:rPr>
          <w:rFonts w:ascii="Arial" w:hAnsi="Arial" w:cs="Arial"/>
        </w:rPr>
        <w:t>This histogram shows the average payoffs per game for players in finite games (horizon &lt; 10). The x-axis represents the range of average payoffs, while the y-axis indicates the frequency of players achieving these payoffs.</w:t>
      </w:r>
    </w:p>
    <w:p w14:paraId="326A0619" w14:textId="093F7FEB" w:rsidR="00923E6B" w:rsidRPr="00923E6B" w:rsidRDefault="00923E6B" w:rsidP="00923E6B">
      <w:pPr>
        <w:wordWrap/>
        <w:spacing w:line="276" w:lineRule="auto"/>
        <w:jc w:val="both"/>
        <w:rPr>
          <w:rFonts w:ascii="Arial" w:hAnsi="Arial" w:cs="Arial"/>
        </w:rPr>
      </w:pPr>
      <w:r w:rsidRPr="00923E6B">
        <w:rPr>
          <w:rFonts w:ascii="Arial" w:hAnsi="Arial" w:cs="Arial"/>
          <w:b/>
          <w:bCs/>
        </w:rPr>
        <w:t>Insights</w:t>
      </w:r>
      <w:r w:rsidRPr="00923E6B">
        <w:rPr>
          <w:rFonts w:ascii="Arial" w:hAnsi="Arial" w:cs="Arial"/>
        </w:rPr>
        <w:t>:</w:t>
      </w:r>
    </w:p>
    <w:p w14:paraId="6B6A5384" w14:textId="74629E66" w:rsidR="00121BC3" w:rsidRDefault="00923E6B" w:rsidP="00121BC3">
      <w:pPr>
        <w:pStyle w:val="a6"/>
        <w:numPr>
          <w:ilvl w:val="0"/>
          <w:numId w:val="5"/>
        </w:numPr>
        <w:wordWrap/>
        <w:spacing w:line="276" w:lineRule="auto"/>
        <w:jc w:val="both"/>
        <w:rPr>
          <w:rFonts w:ascii="Arial" w:hAnsi="Arial" w:cs="Arial"/>
        </w:rPr>
      </w:pPr>
      <w:r w:rsidRPr="00923E6B">
        <w:rPr>
          <w:rFonts w:ascii="Arial" w:hAnsi="Arial" w:cs="Arial"/>
          <w:b/>
          <w:bCs/>
        </w:rPr>
        <w:t>Only TFT</w:t>
      </w:r>
      <w:r w:rsidRPr="00923E6B">
        <w:rPr>
          <w:rFonts w:ascii="Arial" w:hAnsi="Arial" w:cs="Arial"/>
        </w:rPr>
        <w:t>:</w:t>
      </w:r>
      <w:r w:rsidRPr="00923E6B">
        <w:rPr>
          <w:rFonts w:ascii="Arial" w:hAnsi="Arial" w:cs="Arial"/>
        </w:rPr>
        <w:t xml:space="preserve"> </w:t>
      </w:r>
    </w:p>
    <w:p w14:paraId="2D5528F8" w14:textId="77777777" w:rsidR="00B57CD0" w:rsidRPr="00B57CD0" w:rsidRDefault="00B57CD0" w:rsidP="00B57CD0">
      <w:pPr>
        <w:pStyle w:val="a6"/>
        <w:numPr>
          <w:ilvl w:val="1"/>
          <w:numId w:val="5"/>
        </w:numPr>
        <w:wordWrap/>
        <w:spacing w:line="276" w:lineRule="auto"/>
        <w:jc w:val="both"/>
        <w:rPr>
          <w:rFonts w:ascii="Arial" w:hAnsi="Arial" w:cs="Arial"/>
        </w:rPr>
      </w:pPr>
      <w:r w:rsidRPr="00B57CD0">
        <w:rPr>
          <w:rFonts w:ascii="Arial" w:hAnsi="Arial" w:cs="Arial"/>
        </w:rPr>
        <w:t>The distribution shows a concentration of payoffs around lower positive values. This reflects the performance of players strictly adhering to Tit-for-Tat in finite games, where the finite horizon can undermine the incentives for sustained cooperation.</w:t>
      </w:r>
    </w:p>
    <w:p w14:paraId="09A766B3" w14:textId="77777777" w:rsidR="00B57CD0" w:rsidRDefault="00B57CD0" w:rsidP="00B57CD0">
      <w:pPr>
        <w:pStyle w:val="a6"/>
        <w:numPr>
          <w:ilvl w:val="1"/>
          <w:numId w:val="5"/>
        </w:numPr>
        <w:wordWrap/>
        <w:spacing w:line="276" w:lineRule="auto"/>
        <w:jc w:val="both"/>
        <w:rPr>
          <w:rFonts w:ascii="Arial" w:hAnsi="Arial" w:cs="Arial"/>
        </w:rPr>
      </w:pPr>
      <w:r w:rsidRPr="00B57CD0">
        <w:rPr>
          <w:rFonts w:ascii="Arial" w:hAnsi="Arial" w:cs="Arial"/>
        </w:rPr>
        <w:t>In finite games, particularly as the end approaches, players may be tempted to defect, anticipating that there are limited future repercussions. This end-game effect can lead to a breakdown of cooperation, adversely affecting the payoffs of strictly cooperative strategies like TFT.</w:t>
      </w:r>
    </w:p>
    <w:p w14:paraId="3A050030" w14:textId="3626CD86" w:rsidR="00121BC3" w:rsidRDefault="00923E6B" w:rsidP="00B57CD0">
      <w:pPr>
        <w:pStyle w:val="a6"/>
        <w:numPr>
          <w:ilvl w:val="0"/>
          <w:numId w:val="5"/>
        </w:numPr>
        <w:wordWrap/>
        <w:spacing w:line="276" w:lineRule="auto"/>
        <w:jc w:val="both"/>
        <w:rPr>
          <w:rFonts w:ascii="Arial" w:hAnsi="Arial" w:cs="Arial"/>
        </w:rPr>
      </w:pPr>
      <w:r w:rsidRPr="00923E6B">
        <w:rPr>
          <w:rFonts w:ascii="Arial" w:hAnsi="Arial" w:cs="Arial"/>
          <w:b/>
          <w:bCs/>
        </w:rPr>
        <w:t>TFTA</w:t>
      </w:r>
      <w:r w:rsidRPr="00923E6B">
        <w:rPr>
          <w:rFonts w:ascii="Arial" w:hAnsi="Arial" w:cs="Arial"/>
        </w:rPr>
        <w:t>:</w:t>
      </w:r>
      <w:r w:rsidRPr="00923E6B">
        <w:rPr>
          <w:rFonts w:ascii="Arial" w:hAnsi="Arial" w:cs="Arial"/>
        </w:rPr>
        <w:t xml:space="preserve"> </w:t>
      </w:r>
    </w:p>
    <w:p w14:paraId="55D81A15" w14:textId="77777777" w:rsidR="00B57CD0" w:rsidRPr="00B57CD0" w:rsidRDefault="00B57CD0" w:rsidP="00B57CD0">
      <w:pPr>
        <w:pStyle w:val="a6"/>
        <w:numPr>
          <w:ilvl w:val="1"/>
          <w:numId w:val="5"/>
        </w:numPr>
        <w:wordWrap/>
        <w:spacing w:line="276" w:lineRule="auto"/>
        <w:jc w:val="both"/>
        <w:rPr>
          <w:rFonts w:ascii="Arial" w:hAnsi="Arial" w:cs="Arial"/>
        </w:rPr>
      </w:pPr>
      <w:r w:rsidRPr="00B57CD0">
        <w:rPr>
          <w:rFonts w:ascii="Arial" w:hAnsi="Arial" w:cs="Arial"/>
        </w:rPr>
        <w:t>Displays a broader spread of average payoffs, indicating variability in outcomes based on slight deviations from the pure Tit-for-Tat strategy.</w:t>
      </w:r>
    </w:p>
    <w:p w14:paraId="7D470F52" w14:textId="77777777" w:rsidR="00B57CD0" w:rsidRDefault="00B57CD0" w:rsidP="00B57CD0">
      <w:pPr>
        <w:pStyle w:val="a6"/>
        <w:numPr>
          <w:ilvl w:val="1"/>
          <w:numId w:val="5"/>
        </w:numPr>
        <w:wordWrap/>
        <w:spacing w:line="276" w:lineRule="auto"/>
        <w:jc w:val="both"/>
        <w:rPr>
          <w:rFonts w:ascii="Arial" w:hAnsi="Arial" w:cs="Arial"/>
        </w:rPr>
      </w:pPr>
      <w:r w:rsidRPr="00B57CD0">
        <w:rPr>
          <w:rFonts w:ascii="Arial" w:hAnsi="Arial" w:cs="Arial"/>
        </w:rPr>
        <w:t>Players in this category may employ strategies that are more forgiving or punitive, adjusting their behavior in response to their opponents. This adaptability can sometimes mitigate the negative impact of the end-game effect, leading to a wider range of payoffs.</w:t>
      </w:r>
    </w:p>
    <w:p w14:paraId="0BB19E21" w14:textId="38C51F1B" w:rsidR="00923E6B" w:rsidRDefault="00923E6B" w:rsidP="00B57CD0">
      <w:pPr>
        <w:pStyle w:val="a6"/>
        <w:numPr>
          <w:ilvl w:val="0"/>
          <w:numId w:val="5"/>
        </w:numPr>
        <w:wordWrap/>
        <w:spacing w:line="276" w:lineRule="auto"/>
        <w:jc w:val="both"/>
        <w:rPr>
          <w:rFonts w:ascii="Arial" w:hAnsi="Arial" w:cs="Arial"/>
        </w:rPr>
      </w:pPr>
      <w:proofErr w:type="spellStart"/>
      <w:r w:rsidRPr="00923E6B">
        <w:rPr>
          <w:rFonts w:ascii="Arial" w:hAnsi="Arial" w:cs="Arial"/>
          <w:b/>
          <w:bCs/>
        </w:rPr>
        <w:t>All</w:t>
      </w:r>
      <w:proofErr w:type="spellEnd"/>
      <w:r w:rsidRPr="00923E6B">
        <w:rPr>
          <w:rFonts w:ascii="Arial" w:hAnsi="Arial" w:cs="Arial"/>
          <w:b/>
          <w:bCs/>
        </w:rPr>
        <w:t xml:space="preserve"> Strategies</w:t>
      </w:r>
      <w:r w:rsidRPr="00923E6B">
        <w:rPr>
          <w:rFonts w:ascii="Arial" w:hAnsi="Arial" w:cs="Arial"/>
        </w:rPr>
        <w:t>:</w:t>
      </w:r>
      <w:r w:rsidRPr="00923E6B">
        <w:rPr>
          <w:rFonts w:ascii="Arial" w:hAnsi="Arial" w:cs="Arial"/>
        </w:rPr>
        <w:t xml:space="preserve"> </w:t>
      </w:r>
    </w:p>
    <w:p w14:paraId="346D9BDD" w14:textId="77777777" w:rsidR="00B57CD0" w:rsidRPr="00B57CD0" w:rsidRDefault="00B57CD0" w:rsidP="00B57CD0">
      <w:pPr>
        <w:pStyle w:val="a6"/>
        <w:numPr>
          <w:ilvl w:val="1"/>
          <w:numId w:val="5"/>
        </w:numPr>
        <w:wordWrap/>
        <w:spacing w:line="276" w:lineRule="auto"/>
        <w:jc w:val="both"/>
        <w:rPr>
          <w:rFonts w:ascii="Arial" w:hAnsi="Arial" w:cs="Arial"/>
        </w:rPr>
      </w:pPr>
      <w:r w:rsidRPr="00B57CD0">
        <w:rPr>
          <w:rFonts w:ascii="Arial" w:hAnsi="Arial" w:cs="Arial"/>
        </w:rPr>
        <w:t>Exhibits the widest distribution, capturing the full spectrum of strategies, including Always Cooperate (AC), Always Defect (AD), and random strategies.</w:t>
      </w:r>
    </w:p>
    <w:p w14:paraId="5F6E0A88" w14:textId="6C014C71" w:rsidR="00B57CD0" w:rsidRDefault="00B57CD0" w:rsidP="00B57CD0">
      <w:pPr>
        <w:pStyle w:val="a6"/>
        <w:numPr>
          <w:ilvl w:val="1"/>
          <w:numId w:val="5"/>
        </w:numPr>
        <w:wordWrap/>
        <w:spacing w:line="276" w:lineRule="auto"/>
        <w:jc w:val="both"/>
        <w:rPr>
          <w:rFonts w:ascii="Arial" w:hAnsi="Arial" w:cs="Arial"/>
        </w:rPr>
      </w:pPr>
      <w:r w:rsidRPr="00B57CD0">
        <w:rPr>
          <w:rFonts w:ascii="Arial" w:hAnsi="Arial" w:cs="Arial"/>
        </w:rPr>
        <w:t>The diversity in strategies results in a broad range of average payoffs, both negative and positive, reflecting the heterogeneous nature of player behaviors in finite games.</w:t>
      </w:r>
    </w:p>
    <w:p w14:paraId="353C332A" w14:textId="72147ED1" w:rsidR="00121BC3" w:rsidRPr="00507626" w:rsidRDefault="00121BC3" w:rsidP="00507626">
      <w:pPr>
        <w:pStyle w:val="a6"/>
        <w:numPr>
          <w:ilvl w:val="0"/>
          <w:numId w:val="5"/>
        </w:numPr>
        <w:wordWrap/>
        <w:spacing w:line="276" w:lineRule="auto"/>
        <w:jc w:val="both"/>
        <w:rPr>
          <w:rFonts w:ascii="Arial" w:hAnsi="Arial" w:cs="Arial"/>
        </w:rPr>
      </w:pPr>
      <w:r w:rsidRPr="00121BC3">
        <w:rPr>
          <w:rFonts w:ascii="Arial" w:hAnsi="Arial" w:cs="Arial"/>
          <w:b/>
          <w:bCs/>
        </w:rPr>
        <w:t>Negative Payoffs:</w:t>
      </w:r>
      <w:r w:rsidR="00507626" w:rsidRPr="00507626">
        <w:rPr>
          <w:rFonts w:ascii="Arial" w:hAnsi="Arial" w:cs="Arial"/>
          <w:b/>
          <w:bCs/>
        </w:rPr>
        <w:t xml:space="preserve"> </w:t>
      </w:r>
      <w:r w:rsidR="00507626" w:rsidRPr="00923E6B">
        <w:rPr>
          <w:rFonts w:ascii="Arial" w:hAnsi="Arial" w:cs="Arial"/>
        </w:rPr>
        <w:t>Some players receive negative payoffs, primarily due to repeated sucker outcomes (coop = 1, opponent coop = 0) or mutual defection penalties.</w:t>
      </w:r>
    </w:p>
    <w:p w14:paraId="1622076E" w14:textId="09989A07" w:rsidR="00121BC3" w:rsidRPr="00B57CD0" w:rsidRDefault="00B57CD0" w:rsidP="00B57CD0">
      <w:pPr>
        <w:pStyle w:val="a6"/>
        <w:numPr>
          <w:ilvl w:val="1"/>
          <w:numId w:val="5"/>
        </w:numPr>
        <w:wordWrap/>
        <w:spacing w:line="276" w:lineRule="auto"/>
        <w:jc w:val="both"/>
        <w:rPr>
          <w:rFonts w:ascii="Arial" w:hAnsi="Arial" w:cs="Arial"/>
        </w:rPr>
      </w:pPr>
      <w:r w:rsidRPr="00B57CD0">
        <w:rPr>
          <w:rFonts w:ascii="Arial" w:hAnsi="Arial" w:cs="Arial"/>
        </w:rPr>
        <w:t xml:space="preserve">The presence of negative average payoffs is more noticeable in finite games due to the higher likelihood of defection as the game approaches its end. Players experiencing sustained </w:t>
      </w:r>
      <w:r w:rsidRPr="00B57CD0">
        <w:rPr>
          <w:rFonts w:ascii="Arial" w:hAnsi="Arial" w:cs="Arial"/>
        </w:rPr>
        <w:lastRenderedPageBreak/>
        <w:t>unreciprocated cooperation or frequent mutual defection accumulate negative payoffs over the game.</w:t>
      </w:r>
    </w:p>
    <w:p w14:paraId="3F74592C" w14:textId="1DBAAFE4" w:rsidR="00923E6B" w:rsidRDefault="00923E6B" w:rsidP="00923E6B">
      <w:pPr>
        <w:pStyle w:val="a6"/>
        <w:numPr>
          <w:ilvl w:val="0"/>
          <w:numId w:val="5"/>
        </w:numPr>
        <w:wordWrap/>
        <w:spacing w:line="276" w:lineRule="auto"/>
        <w:jc w:val="both"/>
        <w:rPr>
          <w:rFonts w:ascii="Arial" w:hAnsi="Arial" w:cs="Arial"/>
        </w:rPr>
      </w:pPr>
      <w:r w:rsidRPr="00923E6B">
        <w:rPr>
          <w:rFonts w:ascii="Arial" w:hAnsi="Arial" w:cs="Arial"/>
          <w:b/>
          <w:bCs/>
        </w:rPr>
        <w:t>Bins</w:t>
      </w:r>
      <w:r w:rsidRPr="00923E6B">
        <w:rPr>
          <w:rFonts w:ascii="Arial" w:hAnsi="Arial" w:cs="Arial"/>
        </w:rPr>
        <w:t>:</w:t>
      </w:r>
      <w:r w:rsidRPr="00923E6B">
        <w:rPr>
          <w:rFonts w:ascii="Arial" w:hAnsi="Arial" w:cs="Arial"/>
        </w:rPr>
        <w:t xml:space="preserve"> </w:t>
      </w:r>
      <w:r w:rsidRPr="00923E6B">
        <w:rPr>
          <w:rFonts w:ascii="Arial" w:hAnsi="Arial" w:cs="Arial"/>
        </w:rPr>
        <w:t>Current bin size of 0.2 allows for granular insights but could be adjusted for smoother visualization.</w:t>
      </w:r>
    </w:p>
    <w:p w14:paraId="10CA6A1B" w14:textId="77777777" w:rsidR="00B57CD0" w:rsidRDefault="00B57CD0" w:rsidP="00B57CD0">
      <w:pPr>
        <w:pBdr>
          <w:bottom w:val="single" w:sz="6" w:space="1" w:color="auto"/>
        </w:pBdr>
        <w:wordWrap/>
        <w:spacing w:line="276" w:lineRule="auto"/>
        <w:jc w:val="both"/>
        <w:rPr>
          <w:rFonts w:ascii="Arial" w:hAnsi="Arial" w:cs="Arial"/>
        </w:rPr>
      </w:pPr>
    </w:p>
    <w:p w14:paraId="173EA7A4" w14:textId="77777777" w:rsidR="00B57CD0" w:rsidRPr="00B57CD0" w:rsidRDefault="00B57CD0" w:rsidP="00B57CD0">
      <w:pPr>
        <w:wordWrap/>
        <w:spacing w:line="276" w:lineRule="auto"/>
        <w:jc w:val="both"/>
        <w:rPr>
          <w:rFonts w:ascii="Arial" w:hAnsi="Arial" w:cs="Arial"/>
        </w:rPr>
      </w:pPr>
    </w:p>
    <w:p w14:paraId="2DFA3FD9" w14:textId="77777777" w:rsidR="00923E6B" w:rsidRDefault="00923E6B" w:rsidP="00DE6FC1">
      <w:pPr>
        <w:wordWrap/>
        <w:spacing w:line="276" w:lineRule="auto"/>
        <w:jc w:val="both"/>
        <w:rPr>
          <w:rFonts w:ascii="Arial" w:hAnsi="Arial" w:cs="Arial"/>
        </w:rPr>
      </w:pPr>
    </w:p>
    <w:p w14:paraId="1DD77815" w14:textId="5D40C44A" w:rsidR="00E260F1" w:rsidRDefault="00E260F1" w:rsidP="00E260F1">
      <w:pPr>
        <w:wordWrap/>
        <w:spacing w:line="276" w:lineRule="auto"/>
        <w:jc w:val="center"/>
        <w:rPr>
          <w:rFonts w:ascii="Arial" w:hAnsi="Arial" w:cs="Arial"/>
        </w:rPr>
      </w:pPr>
      <w:r>
        <w:rPr>
          <w:rFonts w:ascii="Arial" w:hAnsi="Arial" w:cs="Arial"/>
          <w:noProof/>
        </w:rPr>
        <w:drawing>
          <wp:inline distT="0" distB="0" distL="0" distR="0" wp14:anchorId="18B722C7" wp14:editId="638D75CC">
            <wp:extent cx="5731510" cy="3904615"/>
            <wp:effectExtent l="0" t="0" r="0" b="0"/>
            <wp:docPr id="1312511164" name="그림 10" descr="도표, 스크린샷, 그래프,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11164" name="그림 10" descr="도표, 스크린샷, 그래프, 라인이(가) 표시된 사진&#10;&#10;자동 생성된 설명"/>
                    <pic:cNvPicPr/>
                  </pic:nvPicPr>
                  <pic:blipFill>
                    <a:blip r:embed="rId7">
                      <a:extLst>
                        <a:ext uri="{28A0092B-C50C-407E-A947-70E740481C1C}">
                          <a14:useLocalDpi xmlns:a14="http://schemas.microsoft.com/office/drawing/2010/main" val="0"/>
                        </a:ext>
                      </a:extLst>
                    </a:blip>
                    <a:stretch>
                      <a:fillRect/>
                    </a:stretch>
                  </pic:blipFill>
                  <pic:spPr>
                    <a:xfrm>
                      <a:off x="0" y="0"/>
                      <a:ext cx="5731510" cy="3904615"/>
                    </a:xfrm>
                    <a:prstGeom prst="rect">
                      <a:avLst/>
                    </a:prstGeom>
                  </pic:spPr>
                </pic:pic>
              </a:graphicData>
            </a:graphic>
          </wp:inline>
        </w:drawing>
      </w:r>
    </w:p>
    <w:p w14:paraId="087A13F9" w14:textId="77777777" w:rsidR="00923E6B" w:rsidRPr="00923E6B" w:rsidRDefault="00923E6B" w:rsidP="00202234">
      <w:pPr>
        <w:wordWrap/>
        <w:spacing w:line="276" w:lineRule="auto"/>
        <w:jc w:val="center"/>
        <w:rPr>
          <w:rFonts w:ascii="Arial" w:hAnsi="Arial" w:cs="Arial"/>
        </w:rPr>
      </w:pPr>
      <w:r w:rsidRPr="00923E6B">
        <w:rPr>
          <w:rFonts w:ascii="Arial" w:hAnsi="Arial" w:cs="Arial"/>
          <w:b/>
          <w:bCs/>
        </w:rPr>
        <w:t>Figure 2: Payoff Distribution for Infinite Games</w:t>
      </w:r>
    </w:p>
    <w:p w14:paraId="072EBDE8" w14:textId="64DD56B1" w:rsidR="00202234" w:rsidRDefault="00202234" w:rsidP="00202234">
      <w:pPr>
        <w:wordWrap/>
        <w:spacing w:line="276" w:lineRule="auto"/>
        <w:jc w:val="both"/>
        <w:rPr>
          <w:rFonts w:ascii="Arial" w:hAnsi="Arial" w:cs="Arial"/>
        </w:rPr>
      </w:pPr>
      <w:r w:rsidRPr="00923E6B">
        <w:rPr>
          <w:rFonts w:ascii="Arial" w:hAnsi="Arial" w:cs="Arial"/>
          <w:b/>
          <w:bCs/>
        </w:rPr>
        <w:t>Description</w:t>
      </w:r>
      <w:r w:rsidRPr="00923E6B">
        <w:rPr>
          <w:rFonts w:ascii="Arial" w:hAnsi="Arial" w:cs="Arial"/>
        </w:rPr>
        <w:t>:</w:t>
      </w:r>
      <w:r>
        <w:rPr>
          <w:rFonts w:ascii="Arial" w:hAnsi="Arial" w:cs="Arial"/>
        </w:rPr>
        <w:t xml:space="preserve"> </w:t>
      </w:r>
      <w:r w:rsidR="00B57CD0" w:rsidRPr="00B57CD0">
        <w:rPr>
          <w:rFonts w:ascii="Arial" w:hAnsi="Arial" w:cs="Arial"/>
        </w:rPr>
        <w:t>This histogram presents the average payoffs per game for players in infinite games (with a horizon equal to 10, representing an indefinitely repeated game). The structure mirrors that of finite games but reflects differences in strategic behavior due to the longer, uncertain horizon.</w:t>
      </w:r>
    </w:p>
    <w:p w14:paraId="1E5F42E6" w14:textId="753991D1" w:rsidR="00202234" w:rsidRPr="00202234" w:rsidRDefault="00202234" w:rsidP="00202234">
      <w:pPr>
        <w:wordWrap/>
        <w:spacing w:line="276" w:lineRule="auto"/>
        <w:jc w:val="both"/>
        <w:rPr>
          <w:rFonts w:ascii="Arial" w:hAnsi="Arial" w:cs="Arial"/>
        </w:rPr>
      </w:pPr>
      <w:r w:rsidRPr="00923E6B">
        <w:rPr>
          <w:rFonts w:ascii="Arial" w:hAnsi="Arial" w:cs="Arial"/>
          <w:b/>
          <w:bCs/>
        </w:rPr>
        <w:t>Insights</w:t>
      </w:r>
      <w:r w:rsidRPr="00923E6B">
        <w:rPr>
          <w:rFonts w:ascii="Arial" w:hAnsi="Arial" w:cs="Arial"/>
        </w:rPr>
        <w:t>:</w:t>
      </w:r>
    </w:p>
    <w:p w14:paraId="5D116AF5" w14:textId="7429EE97" w:rsidR="00202234" w:rsidRDefault="00202234" w:rsidP="00202234">
      <w:pPr>
        <w:pStyle w:val="a6"/>
        <w:numPr>
          <w:ilvl w:val="0"/>
          <w:numId w:val="5"/>
        </w:numPr>
        <w:wordWrap/>
        <w:spacing w:line="276" w:lineRule="auto"/>
        <w:jc w:val="both"/>
        <w:rPr>
          <w:rFonts w:ascii="Arial" w:hAnsi="Arial" w:cs="Arial"/>
          <w:b/>
          <w:bCs/>
        </w:rPr>
      </w:pPr>
      <w:r w:rsidRPr="00202234">
        <w:rPr>
          <w:rFonts w:ascii="Arial" w:hAnsi="Arial" w:cs="Arial"/>
          <w:b/>
          <w:bCs/>
        </w:rPr>
        <w:t>Improved Payoffs</w:t>
      </w:r>
      <w:r>
        <w:rPr>
          <w:rFonts w:ascii="Arial" w:hAnsi="Arial" w:cs="Arial"/>
          <w:b/>
          <w:bCs/>
        </w:rPr>
        <w:t xml:space="preserve">: </w:t>
      </w:r>
    </w:p>
    <w:p w14:paraId="51D92556" w14:textId="77777777" w:rsidR="00202234" w:rsidRPr="00202234" w:rsidRDefault="00202234" w:rsidP="00202234">
      <w:pPr>
        <w:pStyle w:val="a6"/>
        <w:numPr>
          <w:ilvl w:val="1"/>
          <w:numId w:val="5"/>
        </w:numPr>
        <w:wordWrap/>
        <w:spacing w:line="276" w:lineRule="auto"/>
        <w:jc w:val="both"/>
        <w:rPr>
          <w:rFonts w:ascii="Arial" w:hAnsi="Arial" w:cs="Arial"/>
        </w:rPr>
      </w:pPr>
      <w:r w:rsidRPr="00202234">
        <w:rPr>
          <w:rFonts w:ascii="Arial" w:hAnsi="Arial" w:cs="Arial"/>
        </w:rPr>
        <w:t>The distributions shift towards higher average payoffs compared to finite games, reflecting increased cooperation in an infinite horizon setting.</w:t>
      </w:r>
    </w:p>
    <w:p w14:paraId="400663F7" w14:textId="72117158" w:rsidR="00202234" w:rsidRPr="00202234" w:rsidRDefault="00202234" w:rsidP="00202234">
      <w:pPr>
        <w:pStyle w:val="a6"/>
        <w:numPr>
          <w:ilvl w:val="1"/>
          <w:numId w:val="5"/>
        </w:numPr>
        <w:wordWrap/>
        <w:spacing w:line="276" w:lineRule="auto"/>
        <w:jc w:val="both"/>
        <w:rPr>
          <w:rFonts w:ascii="Arial" w:hAnsi="Arial" w:cs="Arial"/>
        </w:rPr>
      </w:pPr>
      <w:r w:rsidRPr="00202234">
        <w:rPr>
          <w:rFonts w:ascii="Arial" w:hAnsi="Arial" w:cs="Arial"/>
        </w:rPr>
        <w:t>The shadow of the future encourages sustained cooperation, leading to better outcomes for cooperative strategies</w:t>
      </w:r>
      <w:r w:rsidR="00DC5E88" w:rsidRPr="00DC5E88">
        <w:rPr>
          <w:rFonts w:ascii="Arial" w:hAnsi="Arial" w:cs="Arial"/>
        </w:rPr>
        <w:t>, as players anticipate ongoing interactions with their opponents. This anticipation discourages defection, as the long-term cost of losing cooperative gains outweighs short-term benefits.</w:t>
      </w:r>
    </w:p>
    <w:p w14:paraId="343AA20C" w14:textId="17CB0411" w:rsidR="00202234" w:rsidRDefault="00202234" w:rsidP="00202234">
      <w:pPr>
        <w:pStyle w:val="a6"/>
        <w:numPr>
          <w:ilvl w:val="0"/>
          <w:numId w:val="5"/>
        </w:numPr>
        <w:wordWrap/>
        <w:spacing w:line="276" w:lineRule="auto"/>
        <w:jc w:val="both"/>
        <w:rPr>
          <w:rFonts w:ascii="Arial" w:hAnsi="Arial" w:cs="Arial"/>
        </w:rPr>
      </w:pPr>
      <w:r w:rsidRPr="00923E6B">
        <w:rPr>
          <w:rFonts w:ascii="Arial" w:hAnsi="Arial" w:cs="Arial"/>
          <w:b/>
          <w:bCs/>
        </w:rPr>
        <w:t xml:space="preserve">Only </w:t>
      </w:r>
      <w:r w:rsidRPr="00202234">
        <w:rPr>
          <w:rFonts w:ascii="Arial" w:hAnsi="Arial" w:cs="Arial"/>
          <w:b/>
          <w:bCs/>
        </w:rPr>
        <w:t>TFT</w:t>
      </w:r>
      <w:r w:rsidRPr="00202234">
        <w:rPr>
          <w:rFonts w:ascii="Arial" w:hAnsi="Arial" w:cs="Arial"/>
          <w:b/>
          <w:bCs/>
        </w:rPr>
        <w:t xml:space="preserve"> and TFTA</w:t>
      </w:r>
    </w:p>
    <w:p w14:paraId="399426A9" w14:textId="77777777" w:rsidR="005C21C1" w:rsidRPr="005C21C1" w:rsidRDefault="005C21C1" w:rsidP="005C21C1">
      <w:pPr>
        <w:pStyle w:val="a6"/>
        <w:numPr>
          <w:ilvl w:val="1"/>
          <w:numId w:val="5"/>
        </w:numPr>
        <w:wordWrap/>
        <w:spacing w:line="276" w:lineRule="auto"/>
        <w:jc w:val="both"/>
        <w:rPr>
          <w:rFonts w:ascii="Arial" w:hAnsi="Arial" w:cs="Arial"/>
        </w:rPr>
      </w:pPr>
      <w:r w:rsidRPr="005C21C1">
        <w:rPr>
          <w:rFonts w:ascii="Arial" w:hAnsi="Arial" w:cs="Arial"/>
        </w:rPr>
        <w:t>Players adhering to Tit-for-Tat and similar strategies achieve higher average payoffs, evidenced by the concentration of payoffs in the higher range.</w:t>
      </w:r>
    </w:p>
    <w:p w14:paraId="0EB5E825" w14:textId="77777777" w:rsidR="005C21C1" w:rsidRDefault="005C21C1" w:rsidP="005C21C1">
      <w:pPr>
        <w:pStyle w:val="a6"/>
        <w:numPr>
          <w:ilvl w:val="1"/>
          <w:numId w:val="5"/>
        </w:numPr>
        <w:wordWrap/>
        <w:spacing w:line="276" w:lineRule="auto"/>
        <w:jc w:val="both"/>
        <w:rPr>
          <w:rFonts w:ascii="Arial" w:hAnsi="Arial" w:cs="Arial"/>
        </w:rPr>
      </w:pPr>
      <w:r w:rsidRPr="005C21C1">
        <w:rPr>
          <w:rFonts w:ascii="Arial" w:hAnsi="Arial" w:cs="Arial"/>
        </w:rPr>
        <w:t xml:space="preserve">The effectiveness of these strategies in promoting </w:t>
      </w:r>
      <w:proofErr w:type="gramStart"/>
      <w:r w:rsidRPr="005C21C1">
        <w:rPr>
          <w:rFonts w:ascii="Arial" w:hAnsi="Arial" w:cs="Arial"/>
        </w:rPr>
        <w:t>mutual cooperation</w:t>
      </w:r>
      <w:proofErr w:type="gramEnd"/>
      <w:r w:rsidRPr="005C21C1">
        <w:rPr>
          <w:rFonts w:ascii="Arial" w:hAnsi="Arial" w:cs="Arial"/>
        </w:rPr>
        <w:t xml:space="preserve"> over the long term is more pronounced in infinite games, where the threat of future retaliation or the reward of continued cooperation sustains collaborative behavior.</w:t>
      </w:r>
    </w:p>
    <w:p w14:paraId="0D557DC6" w14:textId="0E55DAC1" w:rsidR="00202234" w:rsidRDefault="00202234" w:rsidP="005C21C1">
      <w:pPr>
        <w:pStyle w:val="a6"/>
        <w:numPr>
          <w:ilvl w:val="0"/>
          <w:numId w:val="5"/>
        </w:numPr>
        <w:wordWrap/>
        <w:spacing w:line="276" w:lineRule="auto"/>
        <w:jc w:val="both"/>
        <w:rPr>
          <w:rFonts w:ascii="Arial" w:hAnsi="Arial" w:cs="Arial"/>
        </w:rPr>
      </w:pPr>
      <w:r w:rsidRPr="00923E6B">
        <w:rPr>
          <w:rFonts w:ascii="Arial" w:hAnsi="Arial" w:cs="Arial"/>
          <w:b/>
          <w:bCs/>
        </w:rPr>
        <w:t>All Strategies</w:t>
      </w:r>
      <w:r w:rsidRPr="00923E6B">
        <w:rPr>
          <w:rFonts w:ascii="Arial" w:hAnsi="Arial" w:cs="Arial"/>
        </w:rPr>
        <w:t xml:space="preserve">: </w:t>
      </w:r>
    </w:p>
    <w:p w14:paraId="75303D9E" w14:textId="77777777" w:rsidR="005C21C1" w:rsidRPr="005C21C1" w:rsidRDefault="005C21C1" w:rsidP="005C21C1">
      <w:pPr>
        <w:pStyle w:val="a6"/>
        <w:numPr>
          <w:ilvl w:val="1"/>
          <w:numId w:val="5"/>
        </w:numPr>
        <w:wordWrap/>
        <w:spacing w:line="276" w:lineRule="auto"/>
        <w:jc w:val="both"/>
        <w:rPr>
          <w:rFonts w:ascii="Arial" w:hAnsi="Arial" w:cs="Arial"/>
        </w:rPr>
      </w:pPr>
      <w:r w:rsidRPr="005C21C1">
        <w:rPr>
          <w:rFonts w:ascii="Arial" w:hAnsi="Arial" w:cs="Arial"/>
        </w:rPr>
        <w:t xml:space="preserve">While the distribution still spans a wide range, there is a higher frequency of positive average </w:t>
      </w:r>
      <w:r w:rsidRPr="005C21C1">
        <w:rPr>
          <w:rFonts w:ascii="Arial" w:hAnsi="Arial" w:cs="Arial"/>
        </w:rPr>
        <w:lastRenderedPageBreak/>
        <w:t>payoffs compared to finite games.</w:t>
      </w:r>
    </w:p>
    <w:p w14:paraId="294454EE" w14:textId="77777777" w:rsidR="005C21C1" w:rsidRDefault="005C21C1" w:rsidP="005C21C1">
      <w:pPr>
        <w:pStyle w:val="a6"/>
        <w:numPr>
          <w:ilvl w:val="1"/>
          <w:numId w:val="5"/>
        </w:numPr>
        <w:wordWrap/>
        <w:spacing w:line="276" w:lineRule="auto"/>
        <w:jc w:val="both"/>
        <w:rPr>
          <w:rFonts w:ascii="Arial" w:hAnsi="Arial" w:cs="Arial"/>
        </w:rPr>
      </w:pPr>
      <w:r w:rsidRPr="005C21C1">
        <w:rPr>
          <w:rFonts w:ascii="Arial" w:hAnsi="Arial" w:cs="Arial"/>
        </w:rPr>
        <w:t>The infinite horizon mitigates the temptation to defect, even among players using varied strategies, as the potential long-term losses from defection are significant.</w:t>
      </w:r>
    </w:p>
    <w:p w14:paraId="00C4A28F" w14:textId="77777777" w:rsidR="005C21C1" w:rsidRPr="005C21C1" w:rsidRDefault="00202234" w:rsidP="005C21C1">
      <w:pPr>
        <w:pStyle w:val="a6"/>
        <w:numPr>
          <w:ilvl w:val="0"/>
          <w:numId w:val="5"/>
        </w:numPr>
        <w:wordWrap/>
        <w:spacing w:line="276" w:lineRule="auto"/>
        <w:jc w:val="both"/>
        <w:rPr>
          <w:rFonts w:ascii="Arial" w:hAnsi="Arial" w:cs="Arial"/>
        </w:rPr>
      </w:pPr>
      <w:r w:rsidRPr="00121BC3">
        <w:rPr>
          <w:rFonts w:ascii="Arial" w:hAnsi="Arial" w:cs="Arial"/>
          <w:b/>
          <w:bCs/>
        </w:rPr>
        <w:t>Negative Payoffs:</w:t>
      </w:r>
      <w:r w:rsidRPr="00507626">
        <w:rPr>
          <w:rFonts w:ascii="Arial" w:hAnsi="Arial" w:cs="Arial"/>
          <w:b/>
          <w:bCs/>
        </w:rPr>
        <w:t xml:space="preserve"> </w:t>
      </w:r>
    </w:p>
    <w:p w14:paraId="515F17E1" w14:textId="77777777" w:rsidR="005C21C1" w:rsidRDefault="005C21C1" w:rsidP="005C21C1">
      <w:pPr>
        <w:pStyle w:val="a6"/>
        <w:numPr>
          <w:ilvl w:val="1"/>
          <w:numId w:val="5"/>
        </w:numPr>
        <w:wordWrap/>
        <w:spacing w:line="276" w:lineRule="auto"/>
        <w:jc w:val="both"/>
        <w:rPr>
          <w:rFonts w:ascii="Arial" w:hAnsi="Arial" w:cs="Arial"/>
        </w:rPr>
      </w:pPr>
      <w:r w:rsidRPr="005C21C1">
        <w:rPr>
          <w:rFonts w:ascii="Arial" w:hAnsi="Arial" w:cs="Arial"/>
        </w:rPr>
        <w:t>Negative average payoffs are less frequent in infinite games due to the reduced incentive to defect and the greater potential cost of breaking cooperation.</w:t>
      </w:r>
    </w:p>
    <w:p w14:paraId="5B0E96D0" w14:textId="24D9C4C9" w:rsidR="005C21C1" w:rsidRPr="005C21C1" w:rsidRDefault="005C21C1" w:rsidP="005C21C1">
      <w:pPr>
        <w:pStyle w:val="a6"/>
        <w:numPr>
          <w:ilvl w:val="1"/>
          <w:numId w:val="5"/>
        </w:numPr>
        <w:wordWrap/>
        <w:spacing w:line="276" w:lineRule="auto"/>
        <w:jc w:val="both"/>
        <w:rPr>
          <w:rFonts w:ascii="Arial" w:hAnsi="Arial" w:cs="Arial"/>
        </w:rPr>
      </w:pPr>
      <w:r w:rsidRPr="005C21C1">
        <w:rPr>
          <w:rFonts w:ascii="Arial" w:hAnsi="Arial" w:cs="Arial"/>
        </w:rPr>
        <w:t xml:space="preserve">Players are more likely to maintain cooperation to avoid mutual losses, leading to overall higher average </w:t>
      </w:r>
      <w:proofErr w:type="spellStart"/>
      <w:r w:rsidRPr="005C21C1">
        <w:rPr>
          <w:rFonts w:ascii="Arial" w:hAnsi="Arial" w:cs="Arial"/>
        </w:rPr>
        <w:t>payoffs.</w:t>
      </w:r>
    </w:p>
    <w:p w14:paraId="093BE93F" w14:textId="0E486CCE" w:rsidR="00DE6FC1" w:rsidRDefault="00DE6FC1" w:rsidP="00DE6FC1">
      <w:pPr>
        <w:pBdr>
          <w:bottom w:val="single" w:sz="6" w:space="1" w:color="auto"/>
        </w:pBdr>
        <w:wordWrap/>
        <w:spacing w:line="276" w:lineRule="auto"/>
        <w:jc w:val="both"/>
        <w:rPr>
          <w:rFonts w:ascii="Arial" w:hAnsi="Arial" w:cs="Arial"/>
          <w:b/>
          <w:bCs/>
        </w:rPr>
      </w:pPr>
      <w:proofErr w:type="spellEnd"/>
    </w:p>
    <w:p w14:paraId="676A7424" w14:textId="77777777" w:rsidR="005C21C1" w:rsidRDefault="005C21C1" w:rsidP="00DE6FC1">
      <w:pPr>
        <w:wordWrap/>
        <w:spacing w:line="276" w:lineRule="auto"/>
        <w:jc w:val="both"/>
        <w:rPr>
          <w:rFonts w:ascii="Arial" w:hAnsi="Arial" w:cs="Arial"/>
        </w:rPr>
      </w:pPr>
    </w:p>
    <w:p w14:paraId="296AAB22" w14:textId="77777777" w:rsidR="005C21C1" w:rsidRPr="005C21C1" w:rsidRDefault="005C21C1" w:rsidP="005C21C1">
      <w:pPr>
        <w:wordWrap/>
        <w:spacing w:line="276" w:lineRule="auto"/>
        <w:jc w:val="both"/>
        <w:rPr>
          <w:rFonts w:ascii="Arial" w:hAnsi="Arial" w:cs="Arial"/>
        </w:rPr>
      </w:pPr>
      <w:r w:rsidRPr="005C21C1">
        <w:rPr>
          <w:rFonts w:ascii="Arial" w:hAnsi="Arial" w:cs="Arial"/>
          <w:b/>
          <w:bCs/>
        </w:rPr>
        <w:t>Implications for the Study</w:t>
      </w:r>
    </w:p>
    <w:p w14:paraId="7C33F9CF" w14:textId="77777777" w:rsidR="005C21C1" w:rsidRPr="005C21C1" w:rsidRDefault="005C21C1" w:rsidP="005C21C1">
      <w:pPr>
        <w:numPr>
          <w:ilvl w:val="0"/>
          <w:numId w:val="14"/>
        </w:numPr>
        <w:wordWrap/>
        <w:spacing w:line="276" w:lineRule="auto"/>
        <w:jc w:val="both"/>
        <w:rPr>
          <w:rFonts w:ascii="Arial" w:hAnsi="Arial" w:cs="Arial"/>
        </w:rPr>
      </w:pPr>
      <w:r w:rsidRPr="005C21C1">
        <w:rPr>
          <w:rFonts w:ascii="Arial" w:hAnsi="Arial" w:cs="Arial"/>
          <w:b/>
          <w:bCs/>
        </w:rPr>
        <w:t>Impact of Game Horizon:</w:t>
      </w:r>
    </w:p>
    <w:p w14:paraId="71037ED2" w14:textId="77777777" w:rsidR="005C21C1" w:rsidRPr="005C21C1" w:rsidRDefault="005C21C1" w:rsidP="005C21C1">
      <w:pPr>
        <w:numPr>
          <w:ilvl w:val="1"/>
          <w:numId w:val="14"/>
        </w:numPr>
        <w:wordWrap/>
        <w:spacing w:line="276" w:lineRule="auto"/>
        <w:jc w:val="both"/>
        <w:rPr>
          <w:rFonts w:ascii="Arial" w:hAnsi="Arial" w:cs="Arial"/>
        </w:rPr>
      </w:pPr>
      <w:r w:rsidRPr="005C21C1">
        <w:rPr>
          <w:rFonts w:ascii="Arial" w:hAnsi="Arial" w:cs="Arial"/>
        </w:rPr>
        <w:t>The figures demonstrate that the game's horizon significantly impacts strategic behavior and outcomes.</w:t>
      </w:r>
    </w:p>
    <w:p w14:paraId="2E252B76" w14:textId="77777777" w:rsidR="005C21C1" w:rsidRPr="005C21C1" w:rsidRDefault="005C21C1" w:rsidP="005C21C1">
      <w:pPr>
        <w:numPr>
          <w:ilvl w:val="1"/>
          <w:numId w:val="14"/>
        </w:numPr>
        <w:wordWrap/>
        <w:spacing w:line="276" w:lineRule="auto"/>
        <w:jc w:val="both"/>
        <w:rPr>
          <w:rFonts w:ascii="Arial" w:hAnsi="Arial" w:cs="Arial"/>
        </w:rPr>
      </w:pPr>
      <w:r w:rsidRPr="005C21C1">
        <w:rPr>
          <w:rFonts w:ascii="Arial" w:hAnsi="Arial" w:cs="Arial"/>
        </w:rPr>
        <w:t>In finite games, the approaching end diminishes the incentives for cooperation, leading to more frequent defection and lower average payoffs, especially for cooperative strategies.</w:t>
      </w:r>
    </w:p>
    <w:p w14:paraId="63011A5E" w14:textId="77777777" w:rsidR="005C21C1" w:rsidRPr="005C21C1" w:rsidRDefault="005C21C1" w:rsidP="005C21C1">
      <w:pPr>
        <w:numPr>
          <w:ilvl w:val="1"/>
          <w:numId w:val="14"/>
        </w:numPr>
        <w:wordWrap/>
        <w:spacing w:line="276" w:lineRule="auto"/>
        <w:jc w:val="both"/>
        <w:rPr>
          <w:rFonts w:ascii="Arial" w:hAnsi="Arial" w:cs="Arial"/>
        </w:rPr>
      </w:pPr>
      <w:r w:rsidRPr="005C21C1">
        <w:rPr>
          <w:rFonts w:ascii="Arial" w:hAnsi="Arial" w:cs="Arial"/>
        </w:rPr>
        <w:t>In infinite games, the uncertainty about when the game will end fosters an environment where cooperation is the rational long-term strategy, resulting in higher average payoffs.</w:t>
      </w:r>
    </w:p>
    <w:p w14:paraId="3C5D7372" w14:textId="77777777" w:rsidR="005C21C1" w:rsidRPr="005C21C1" w:rsidRDefault="005C21C1" w:rsidP="005C21C1">
      <w:pPr>
        <w:numPr>
          <w:ilvl w:val="0"/>
          <w:numId w:val="14"/>
        </w:numPr>
        <w:wordWrap/>
        <w:spacing w:line="276" w:lineRule="auto"/>
        <w:jc w:val="both"/>
        <w:rPr>
          <w:rFonts w:ascii="Arial" w:hAnsi="Arial" w:cs="Arial"/>
        </w:rPr>
      </w:pPr>
      <w:r w:rsidRPr="005C21C1">
        <w:rPr>
          <w:rFonts w:ascii="Arial" w:hAnsi="Arial" w:cs="Arial"/>
          <w:b/>
          <w:bCs/>
        </w:rPr>
        <w:t>Effectiveness of Cooperative Strategies:</w:t>
      </w:r>
    </w:p>
    <w:p w14:paraId="6822BA72" w14:textId="77777777" w:rsidR="005C21C1" w:rsidRPr="005C21C1" w:rsidRDefault="005C21C1" w:rsidP="005C21C1">
      <w:pPr>
        <w:numPr>
          <w:ilvl w:val="1"/>
          <w:numId w:val="14"/>
        </w:numPr>
        <w:wordWrap/>
        <w:spacing w:line="276" w:lineRule="auto"/>
        <w:jc w:val="both"/>
        <w:rPr>
          <w:rFonts w:ascii="Arial" w:hAnsi="Arial" w:cs="Arial"/>
        </w:rPr>
      </w:pPr>
      <w:r w:rsidRPr="005C21C1">
        <w:rPr>
          <w:rFonts w:ascii="Arial" w:hAnsi="Arial" w:cs="Arial"/>
        </w:rPr>
        <w:t xml:space="preserve">Tit-for-Tat and similar strategies are more effective in infinite games, where they can sustain </w:t>
      </w:r>
      <w:proofErr w:type="gramStart"/>
      <w:r w:rsidRPr="005C21C1">
        <w:rPr>
          <w:rFonts w:ascii="Arial" w:hAnsi="Arial" w:cs="Arial"/>
        </w:rPr>
        <w:t>mutual cooperation</w:t>
      </w:r>
      <w:proofErr w:type="gramEnd"/>
      <w:r w:rsidRPr="005C21C1">
        <w:rPr>
          <w:rFonts w:ascii="Arial" w:hAnsi="Arial" w:cs="Arial"/>
        </w:rPr>
        <w:t xml:space="preserve"> and maximize payoffs.</w:t>
      </w:r>
    </w:p>
    <w:p w14:paraId="1757A60C" w14:textId="77777777" w:rsidR="005C21C1" w:rsidRPr="005C21C1" w:rsidRDefault="005C21C1" w:rsidP="005C21C1">
      <w:pPr>
        <w:numPr>
          <w:ilvl w:val="1"/>
          <w:numId w:val="14"/>
        </w:numPr>
        <w:wordWrap/>
        <w:spacing w:line="276" w:lineRule="auto"/>
        <w:jc w:val="both"/>
        <w:rPr>
          <w:rFonts w:ascii="Arial" w:hAnsi="Arial" w:cs="Arial"/>
        </w:rPr>
      </w:pPr>
      <w:r w:rsidRPr="005C21C1">
        <w:rPr>
          <w:rFonts w:ascii="Arial" w:hAnsi="Arial" w:cs="Arial"/>
        </w:rPr>
        <w:t>The adaptability of TFTA strategies allows players to respond to their opponents' behavior, enhancing cooperation even when facing occasional defection.</w:t>
      </w:r>
    </w:p>
    <w:p w14:paraId="1889CCCA" w14:textId="77777777" w:rsidR="005C21C1" w:rsidRPr="005C21C1" w:rsidRDefault="005C21C1" w:rsidP="005C21C1">
      <w:pPr>
        <w:numPr>
          <w:ilvl w:val="0"/>
          <w:numId w:val="14"/>
        </w:numPr>
        <w:wordWrap/>
        <w:spacing w:line="276" w:lineRule="auto"/>
        <w:jc w:val="both"/>
        <w:rPr>
          <w:rFonts w:ascii="Arial" w:hAnsi="Arial" w:cs="Arial"/>
        </w:rPr>
      </w:pPr>
      <w:r w:rsidRPr="005C21C1">
        <w:rPr>
          <w:rFonts w:ascii="Arial" w:hAnsi="Arial" w:cs="Arial"/>
          <w:b/>
          <w:bCs/>
        </w:rPr>
        <w:t>Risks of Unreciprocated Cooperation:</w:t>
      </w:r>
    </w:p>
    <w:p w14:paraId="79821E39" w14:textId="77777777" w:rsidR="005C21C1" w:rsidRPr="005C21C1" w:rsidRDefault="005C21C1" w:rsidP="005C21C1">
      <w:pPr>
        <w:numPr>
          <w:ilvl w:val="1"/>
          <w:numId w:val="14"/>
        </w:numPr>
        <w:wordWrap/>
        <w:spacing w:line="276" w:lineRule="auto"/>
        <w:jc w:val="both"/>
        <w:rPr>
          <w:rFonts w:ascii="Arial" w:hAnsi="Arial" w:cs="Arial"/>
        </w:rPr>
      </w:pPr>
      <w:r w:rsidRPr="005C21C1">
        <w:rPr>
          <w:rFonts w:ascii="Arial" w:hAnsi="Arial" w:cs="Arial"/>
        </w:rPr>
        <w:t>The presence of negative payoffs underscores the risks associated with unreciprocated cooperation.</w:t>
      </w:r>
    </w:p>
    <w:p w14:paraId="0FCE5D6E" w14:textId="77777777" w:rsidR="005C21C1" w:rsidRPr="005C21C1" w:rsidRDefault="005C21C1" w:rsidP="005C21C1">
      <w:pPr>
        <w:numPr>
          <w:ilvl w:val="1"/>
          <w:numId w:val="14"/>
        </w:numPr>
        <w:wordWrap/>
        <w:spacing w:line="276" w:lineRule="auto"/>
        <w:jc w:val="both"/>
        <w:rPr>
          <w:rFonts w:ascii="Arial" w:hAnsi="Arial" w:cs="Arial"/>
        </w:rPr>
      </w:pPr>
      <w:r w:rsidRPr="005C21C1">
        <w:rPr>
          <w:rFonts w:ascii="Arial" w:hAnsi="Arial" w:cs="Arial"/>
        </w:rPr>
        <w:t>Players who consistently cooperate without reciprocation from their opponents incur losses, highlighting the importance of strategy selection and the ability to respond appropriately to defection.</w:t>
      </w:r>
    </w:p>
    <w:p w14:paraId="7AE30E03" w14:textId="77777777" w:rsidR="005C21C1" w:rsidRPr="005C21C1" w:rsidRDefault="005C21C1" w:rsidP="005C21C1">
      <w:pPr>
        <w:numPr>
          <w:ilvl w:val="0"/>
          <w:numId w:val="14"/>
        </w:numPr>
        <w:wordWrap/>
        <w:spacing w:line="276" w:lineRule="auto"/>
        <w:jc w:val="both"/>
        <w:rPr>
          <w:rFonts w:ascii="Arial" w:hAnsi="Arial" w:cs="Arial"/>
        </w:rPr>
      </w:pPr>
      <w:r w:rsidRPr="005C21C1">
        <w:rPr>
          <w:rFonts w:ascii="Arial" w:hAnsi="Arial" w:cs="Arial"/>
          <w:b/>
          <w:bCs/>
        </w:rPr>
        <w:t>Strategic Diversity:</w:t>
      </w:r>
    </w:p>
    <w:p w14:paraId="739D8D1C" w14:textId="4643B16A" w:rsidR="005C21C1" w:rsidRPr="005C21C1" w:rsidRDefault="005C21C1" w:rsidP="005C21C1">
      <w:pPr>
        <w:numPr>
          <w:ilvl w:val="1"/>
          <w:numId w:val="14"/>
        </w:numPr>
        <w:wordWrap/>
        <w:spacing w:line="276" w:lineRule="auto"/>
        <w:jc w:val="both"/>
        <w:rPr>
          <w:rFonts w:ascii="Arial" w:hAnsi="Arial" w:cs="Arial"/>
        </w:rPr>
      </w:pPr>
      <w:r w:rsidRPr="005C21C1">
        <w:rPr>
          <w:rFonts w:ascii="Arial" w:hAnsi="Arial" w:cs="Arial"/>
        </w:rPr>
        <w:t xml:space="preserve">The wide range of average payoffs in the </w:t>
      </w:r>
      <w:r w:rsidR="004761D6">
        <w:rPr>
          <w:rFonts w:ascii="Arial" w:hAnsi="Arial" w:cs="Arial"/>
        </w:rPr>
        <w:t>‘</w:t>
      </w:r>
      <w:r w:rsidRPr="005C21C1">
        <w:rPr>
          <w:rFonts w:ascii="Arial" w:hAnsi="Arial" w:cs="Arial"/>
        </w:rPr>
        <w:t>All Strategies</w:t>
      </w:r>
      <w:r w:rsidR="004761D6">
        <w:rPr>
          <w:rFonts w:ascii="Arial" w:hAnsi="Arial" w:cs="Arial"/>
        </w:rPr>
        <w:t>’</w:t>
      </w:r>
      <w:r w:rsidRPr="005C21C1">
        <w:rPr>
          <w:rFonts w:ascii="Arial" w:hAnsi="Arial" w:cs="Arial"/>
        </w:rPr>
        <w:t xml:space="preserve"> category reflects the diversity of human decision-making in strategic settings.</w:t>
      </w:r>
    </w:p>
    <w:p w14:paraId="7E3B6D52" w14:textId="77777777" w:rsidR="005C21C1" w:rsidRPr="005C21C1" w:rsidRDefault="005C21C1" w:rsidP="005C21C1">
      <w:pPr>
        <w:numPr>
          <w:ilvl w:val="1"/>
          <w:numId w:val="14"/>
        </w:numPr>
        <w:wordWrap/>
        <w:spacing w:line="276" w:lineRule="auto"/>
        <w:jc w:val="both"/>
        <w:rPr>
          <w:rFonts w:ascii="Arial" w:hAnsi="Arial" w:cs="Arial"/>
        </w:rPr>
      </w:pPr>
      <w:r w:rsidRPr="005C21C1">
        <w:rPr>
          <w:rFonts w:ascii="Arial" w:hAnsi="Arial" w:cs="Arial"/>
        </w:rPr>
        <w:t>Understanding the distribution of strategies and their outcomes can inform the development of models that better predict behavior in repeated games.</w:t>
      </w:r>
    </w:p>
    <w:p w14:paraId="4D3A1783" w14:textId="77777777" w:rsidR="005C21C1" w:rsidRPr="00202234" w:rsidRDefault="005C21C1" w:rsidP="00DE6FC1">
      <w:pPr>
        <w:wordWrap/>
        <w:spacing w:line="276" w:lineRule="auto"/>
        <w:jc w:val="both"/>
        <w:rPr>
          <w:rFonts w:ascii="Arial" w:hAnsi="Arial" w:cs="Arial"/>
        </w:rPr>
      </w:pPr>
    </w:p>
    <w:sectPr w:rsidR="005C21C1" w:rsidRPr="00202234" w:rsidSect="00202234">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03866"/>
    <w:multiLevelType w:val="hybridMultilevel"/>
    <w:tmpl w:val="6620741C"/>
    <w:lvl w:ilvl="0" w:tplc="83DAE81E">
      <w:start w:val="2019"/>
      <w:numFmt w:val="bullet"/>
      <w:lvlText w:val="•"/>
      <w:lvlJc w:val="left"/>
      <w:pPr>
        <w:ind w:left="880" w:hanging="440"/>
      </w:pPr>
      <w:rPr>
        <w:rFonts w:ascii="Arial" w:eastAsia="맑은 고딕" w:hAnsi="Arial" w:cs="Arial" w:hint="default"/>
      </w:rPr>
    </w:lvl>
    <w:lvl w:ilvl="1" w:tplc="142EA012">
      <w:start w:val="2019"/>
      <w:numFmt w:val="bullet"/>
      <w:lvlText w:val="-"/>
      <w:lvlJc w:val="left"/>
      <w:pPr>
        <w:ind w:left="1320" w:hanging="440"/>
      </w:pPr>
      <w:rPr>
        <w:rFonts w:ascii="Times New Roman" w:eastAsia="맑은 고딕" w:hAnsi="Times New Roman" w:cs="Times New Roman"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1" w15:restartNumberingAfterBreak="0">
    <w:nsid w:val="10275519"/>
    <w:multiLevelType w:val="hybridMultilevel"/>
    <w:tmpl w:val="C554A590"/>
    <w:lvl w:ilvl="0" w:tplc="01F8FD3A">
      <w:start w:val="2019"/>
      <w:numFmt w:val="bullet"/>
      <w:lvlText w:val="•"/>
      <w:lvlJc w:val="left"/>
      <w:pPr>
        <w:ind w:left="880" w:hanging="440"/>
      </w:pPr>
      <w:rPr>
        <w:rFonts w:ascii="Arial" w:eastAsia="맑은 고딕" w:hAnsi="Arial" w:cs="Arial" w:hint="default"/>
      </w:rPr>
    </w:lvl>
    <w:lvl w:ilvl="1" w:tplc="6B3A2530">
      <w:start w:val="2019"/>
      <w:numFmt w:val="bullet"/>
      <w:lvlText w:val="-"/>
      <w:lvlJc w:val="left"/>
      <w:pPr>
        <w:ind w:left="1320" w:hanging="440"/>
      </w:pPr>
      <w:rPr>
        <w:rFonts w:ascii="Arial" w:eastAsia="맑은 고딕" w:hAnsi="Arial" w:cs="Arial"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12EB0429"/>
    <w:multiLevelType w:val="multilevel"/>
    <w:tmpl w:val="6D14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511E1"/>
    <w:multiLevelType w:val="multilevel"/>
    <w:tmpl w:val="5052F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769CB"/>
    <w:multiLevelType w:val="multilevel"/>
    <w:tmpl w:val="A2BED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E00DA"/>
    <w:multiLevelType w:val="hybridMultilevel"/>
    <w:tmpl w:val="B12ED00A"/>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4DDE141B"/>
    <w:multiLevelType w:val="hybridMultilevel"/>
    <w:tmpl w:val="B418B102"/>
    <w:lvl w:ilvl="0" w:tplc="09A09E5E">
      <w:start w:val="2019"/>
      <w:numFmt w:val="bullet"/>
      <w:lvlText w:val="-"/>
      <w:lvlJc w:val="left"/>
      <w:pPr>
        <w:ind w:left="1320" w:hanging="440"/>
      </w:pPr>
      <w:rPr>
        <w:rFonts w:ascii="Arial" w:eastAsia="맑은 고딕" w:hAnsi="Arial" w:cs="Arial"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7" w15:restartNumberingAfterBreak="0">
    <w:nsid w:val="564726A4"/>
    <w:multiLevelType w:val="hybridMultilevel"/>
    <w:tmpl w:val="179E4A6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56BE7EB1"/>
    <w:multiLevelType w:val="hybridMultilevel"/>
    <w:tmpl w:val="25CC731E"/>
    <w:lvl w:ilvl="0" w:tplc="142EA012">
      <w:start w:val="2019"/>
      <w:numFmt w:val="bullet"/>
      <w:lvlText w:val="-"/>
      <w:lvlJc w:val="left"/>
      <w:pPr>
        <w:ind w:left="880" w:hanging="440"/>
      </w:pPr>
      <w:rPr>
        <w:rFonts w:ascii="Times New Roman" w:eastAsia="맑은 고딕" w:hAnsi="Times New Roman" w:cs="Times New Roman"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67156231"/>
    <w:multiLevelType w:val="multilevel"/>
    <w:tmpl w:val="91B4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E6369C"/>
    <w:multiLevelType w:val="hybridMultilevel"/>
    <w:tmpl w:val="FE6ACE26"/>
    <w:lvl w:ilvl="0" w:tplc="DA580B08">
      <w:start w:val="2019"/>
      <w:numFmt w:val="bullet"/>
      <w:lvlText w:val="•"/>
      <w:lvlJc w:val="left"/>
      <w:pPr>
        <w:ind w:left="1240" w:hanging="440"/>
      </w:pPr>
      <w:rPr>
        <w:rFonts w:ascii="맑은 고딕" w:eastAsia="맑은 고딕" w:hAnsi="맑은 고딕" w:cs="Times New Roman"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1" w15:restartNumberingAfterBreak="0">
    <w:nsid w:val="71F750DA"/>
    <w:multiLevelType w:val="hybridMultilevel"/>
    <w:tmpl w:val="970C4724"/>
    <w:lvl w:ilvl="0" w:tplc="801427CA">
      <w:start w:val="2019"/>
      <w:numFmt w:val="bullet"/>
      <w:lvlText w:val="•"/>
      <w:lvlJc w:val="left"/>
      <w:pPr>
        <w:ind w:left="880" w:hanging="440"/>
      </w:pPr>
      <w:rPr>
        <w:rFonts w:ascii="Arial" w:eastAsia="맑은 고딕" w:hAnsi="Arial" w:cs="Aria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79BC7381"/>
    <w:multiLevelType w:val="multilevel"/>
    <w:tmpl w:val="EBCC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BB3473"/>
    <w:multiLevelType w:val="hybridMultilevel"/>
    <w:tmpl w:val="3BD274C6"/>
    <w:lvl w:ilvl="0" w:tplc="FFFFFFFF">
      <w:start w:val="1"/>
      <w:numFmt w:val="bullet"/>
      <w:lvlText w:val=""/>
      <w:lvlJc w:val="left"/>
      <w:pPr>
        <w:ind w:left="880" w:hanging="440"/>
      </w:pPr>
      <w:rPr>
        <w:rFonts w:ascii="Wingdings" w:hAnsi="Wingdings" w:hint="default"/>
      </w:rPr>
    </w:lvl>
    <w:lvl w:ilvl="1" w:tplc="FFFFFFFF">
      <w:start w:val="2019"/>
      <w:numFmt w:val="bullet"/>
      <w:lvlText w:val="-"/>
      <w:lvlJc w:val="left"/>
      <w:pPr>
        <w:ind w:left="1320" w:hanging="440"/>
      </w:pPr>
      <w:rPr>
        <w:rFonts w:ascii="Times New Roman" w:eastAsia="맑은 고딕" w:hAnsi="Times New Roman" w:cs="Times New Roman" w:hint="default"/>
      </w:rPr>
    </w:lvl>
    <w:lvl w:ilvl="2" w:tplc="4844E45A">
      <w:start w:val="2019"/>
      <w:numFmt w:val="bullet"/>
      <w:lvlText w:val="-"/>
      <w:lvlJc w:val="left"/>
      <w:pPr>
        <w:ind w:left="1760" w:hanging="440"/>
      </w:pPr>
      <w:rPr>
        <w:rFonts w:ascii="Arial" w:eastAsia="맑은 고딕" w:hAnsi="Arial" w:cs="Arial"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num w:numId="1" w16cid:durableId="1633633880">
    <w:abstractNumId w:val="11"/>
  </w:num>
  <w:num w:numId="2" w16cid:durableId="1734893526">
    <w:abstractNumId w:val="10"/>
  </w:num>
  <w:num w:numId="3" w16cid:durableId="1177381775">
    <w:abstractNumId w:val="5"/>
  </w:num>
  <w:num w:numId="4" w16cid:durableId="118770201">
    <w:abstractNumId w:val="7"/>
  </w:num>
  <w:num w:numId="5" w16cid:durableId="1360351528">
    <w:abstractNumId w:val="0"/>
  </w:num>
  <w:num w:numId="6" w16cid:durableId="1573927416">
    <w:abstractNumId w:val="2"/>
  </w:num>
  <w:num w:numId="7" w16cid:durableId="201986932">
    <w:abstractNumId w:val="3"/>
  </w:num>
  <w:num w:numId="8" w16cid:durableId="824972448">
    <w:abstractNumId w:val="12"/>
  </w:num>
  <w:num w:numId="9" w16cid:durableId="659892182">
    <w:abstractNumId w:val="9"/>
  </w:num>
  <w:num w:numId="10" w16cid:durableId="1990983885">
    <w:abstractNumId w:val="8"/>
  </w:num>
  <w:num w:numId="11" w16cid:durableId="840237539">
    <w:abstractNumId w:val="1"/>
  </w:num>
  <w:num w:numId="12" w16cid:durableId="1845051437">
    <w:abstractNumId w:val="6"/>
  </w:num>
  <w:num w:numId="13" w16cid:durableId="1558319531">
    <w:abstractNumId w:val="13"/>
  </w:num>
  <w:num w:numId="14" w16cid:durableId="11157533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FC1"/>
    <w:rsid w:val="00087645"/>
    <w:rsid w:val="00121BC3"/>
    <w:rsid w:val="00202234"/>
    <w:rsid w:val="003C0EC2"/>
    <w:rsid w:val="004761D6"/>
    <w:rsid w:val="00507626"/>
    <w:rsid w:val="005C21C1"/>
    <w:rsid w:val="00923E6B"/>
    <w:rsid w:val="00B04951"/>
    <w:rsid w:val="00B57CD0"/>
    <w:rsid w:val="00BE22C5"/>
    <w:rsid w:val="00DC5E88"/>
    <w:rsid w:val="00DE6FC1"/>
    <w:rsid w:val="00E260F1"/>
    <w:rsid w:val="00E84516"/>
    <w:rsid w:val="00F402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31A4F"/>
  <w15:chartTrackingRefBased/>
  <w15:docId w15:val="{72E5BCA4-0F95-3D46-A3F2-A69572C9E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E6FC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E6FC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DE6FC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DE6FC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E6FC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E6FC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E6FC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E6FC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E6FC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E6FC1"/>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E6FC1"/>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DE6FC1"/>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DE6FC1"/>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E6FC1"/>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E6FC1"/>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E6FC1"/>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E6FC1"/>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E6FC1"/>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E6FC1"/>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E6FC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E6FC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E6FC1"/>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E6FC1"/>
    <w:pPr>
      <w:spacing w:before="160"/>
      <w:jc w:val="center"/>
    </w:pPr>
    <w:rPr>
      <w:i/>
      <w:iCs/>
      <w:color w:val="404040" w:themeColor="text1" w:themeTint="BF"/>
    </w:rPr>
  </w:style>
  <w:style w:type="character" w:customStyle="1" w:styleId="Char1">
    <w:name w:val="인용 Char"/>
    <w:basedOn w:val="a0"/>
    <w:link w:val="a5"/>
    <w:uiPriority w:val="29"/>
    <w:rsid w:val="00DE6FC1"/>
    <w:rPr>
      <w:i/>
      <w:iCs/>
      <w:color w:val="404040" w:themeColor="text1" w:themeTint="BF"/>
    </w:rPr>
  </w:style>
  <w:style w:type="paragraph" w:styleId="a6">
    <w:name w:val="List Paragraph"/>
    <w:basedOn w:val="a"/>
    <w:uiPriority w:val="34"/>
    <w:qFormat/>
    <w:rsid w:val="00DE6FC1"/>
    <w:pPr>
      <w:ind w:left="720"/>
      <w:contextualSpacing/>
    </w:pPr>
  </w:style>
  <w:style w:type="character" w:styleId="a7">
    <w:name w:val="Intense Emphasis"/>
    <w:basedOn w:val="a0"/>
    <w:uiPriority w:val="21"/>
    <w:qFormat/>
    <w:rsid w:val="00DE6FC1"/>
    <w:rPr>
      <w:i/>
      <w:iCs/>
      <w:color w:val="0F4761" w:themeColor="accent1" w:themeShade="BF"/>
    </w:rPr>
  </w:style>
  <w:style w:type="paragraph" w:styleId="a8">
    <w:name w:val="Intense Quote"/>
    <w:basedOn w:val="a"/>
    <w:next w:val="a"/>
    <w:link w:val="Char2"/>
    <w:uiPriority w:val="30"/>
    <w:qFormat/>
    <w:rsid w:val="00DE6F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E6FC1"/>
    <w:rPr>
      <w:i/>
      <w:iCs/>
      <w:color w:val="0F4761" w:themeColor="accent1" w:themeShade="BF"/>
    </w:rPr>
  </w:style>
  <w:style w:type="character" w:styleId="a9">
    <w:name w:val="Intense Reference"/>
    <w:basedOn w:val="a0"/>
    <w:uiPriority w:val="32"/>
    <w:qFormat/>
    <w:rsid w:val="00DE6FC1"/>
    <w:rPr>
      <w:b/>
      <w:bCs/>
      <w:smallCaps/>
      <w:color w:val="0F4761" w:themeColor="accent1" w:themeShade="BF"/>
      <w:spacing w:val="5"/>
    </w:rPr>
  </w:style>
  <w:style w:type="paragraph" w:customStyle="1" w:styleId="p1">
    <w:name w:val="p1"/>
    <w:basedOn w:val="a"/>
    <w:rsid w:val="00DE6FC1"/>
    <w:pPr>
      <w:widowControl/>
      <w:wordWrap/>
      <w:autoSpaceDE/>
      <w:autoSpaceDN/>
      <w:spacing w:before="180" w:after="0"/>
      <w:ind w:left="195" w:hanging="195"/>
    </w:pPr>
    <w:rPr>
      <w:rFonts w:ascii=".AppleSystemUIFont" w:eastAsia="Times New Roman" w:hAnsi=".AppleSystemUIFont" w:cs="Times New Roman"/>
      <w:color w:val="0E0E0E"/>
      <w:kern w:val="0"/>
      <w:sz w:val="24"/>
      <w14:ligatures w14:val="none"/>
    </w:rPr>
  </w:style>
  <w:style w:type="paragraph" w:customStyle="1" w:styleId="p2">
    <w:name w:val="p2"/>
    <w:basedOn w:val="a"/>
    <w:rsid w:val="00DE6FC1"/>
    <w:pPr>
      <w:widowControl/>
      <w:wordWrap/>
      <w:autoSpaceDE/>
      <w:autoSpaceDN/>
      <w:spacing w:before="180" w:after="0"/>
      <w:ind w:left="495" w:hanging="495"/>
    </w:pPr>
    <w:rPr>
      <w:rFonts w:ascii=".AppleSystemUIFont" w:eastAsia="Times New Roman" w:hAnsi=".AppleSystemUIFont" w:cs="Times New Roman"/>
      <w:color w:val="0E0E0E"/>
      <w:kern w:val="0"/>
      <w:sz w:val="24"/>
      <w14:ligatures w14:val="none"/>
    </w:rPr>
  </w:style>
  <w:style w:type="paragraph" w:customStyle="1" w:styleId="p3">
    <w:name w:val="p3"/>
    <w:basedOn w:val="a"/>
    <w:rsid w:val="00DE6FC1"/>
    <w:pPr>
      <w:widowControl/>
      <w:wordWrap/>
      <w:autoSpaceDE/>
      <w:autoSpaceDN/>
      <w:spacing w:before="180" w:after="0"/>
      <w:ind w:left="795" w:hanging="795"/>
    </w:pPr>
    <w:rPr>
      <w:rFonts w:ascii=".AppleSystemUIFont" w:eastAsia="Times New Roman" w:hAnsi=".AppleSystemUIFont" w:cs="Times New Roman"/>
      <w:color w:val="0E0E0E"/>
      <w:kern w:val="0"/>
      <w:sz w:val="24"/>
      <w14:ligatures w14:val="none"/>
    </w:rPr>
  </w:style>
  <w:style w:type="character" w:customStyle="1" w:styleId="apple-tab-span">
    <w:name w:val="apple-tab-span"/>
    <w:basedOn w:val="a0"/>
    <w:rsid w:val="00DE6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482">
      <w:bodyDiv w:val="1"/>
      <w:marLeft w:val="0"/>
      <w:marRight w:val="0"/>
      <w:marTop w:val="0"/>
      <w:marBottom w:val="0"/>
      <w:divBdr>
        <w:top w:val="none" w:sz="0" w:space="0" w:color="auto"/>
        <w:left w:val="none" w:sz="0" w:space="0" w:color="auto"/>
        <w:bottom w:val="none" w:sz="0" w:space="0" w:color="auto"/>
        <w:right w:val="none" w:sz="0" w:space="0" w:color="auto"/>
      </w:divBdr>
    </w:div>
    <w:div w:id="57435140">
      <w:bodyDiv w:val="1"/>
      <w:marLeft w:val="0"/>
      <w:marRight w:val="0"/>
      <w:marTop w:val="0"/>
      <w:marBottom w:val="0"/>
      <w:divBdr>
        <w:top w:val="none" w:sz="0" w:space="0" w:color="auto"/>
        <w:left w:val="none" w:sz="0" w:space="0" w:color="auto"/>
        <w:bottom w:val="none" w:sz="0" w:space="0" w:color="auto"/>
        <w:right w:val="none" w:sz="0" w:space="0" w:color="auto"/>
      </w:divBdr>
    </w:div>
    <w:div w:id="92629188">
      <w:bodyDiv w:val="1"/>
      <w:marLeft w:val="0"/>
      <w:marRight w:val="0"/>
      <w:marTop w:val="0"/>
      <w:marBottom w:val="0"/>
      <w:divBdr>
        <w:top w:val="none" w:sz="0" w:space="0" w:color="auto"/>
        <w:left w:val="none" w:sz="0" w:space="0" w:color="auto"/>
        <w:bottom w:val="none" w:sz="0" w:space="0" w:color="auto"/>
        <w:right w:val="none" w:sz="0" w:space="0" w:color="auto"/>
      </w:divBdr>
    </w:div>
    <w:div w:id="101070386">
      <w:bodyDiv w:val="1"/>
      <w:marLeft w:val="0"/>
      <w:marRight w:val="0"/>
      <w:marTop w:val="0"/>
      <w:marBottom w:val="0"/>
      <w:divBdr>
        <w:top w:val="none" w:sz="0" w:space="0" w:color="auto"/>
        <w:left w:val="none" w:sz="0" w:space="0" w:color="auto"/>
        <w:bottom w:val="none" w:sz="0" w:space="0" w:color="auto"/>
        <w:right w:val="none" w:sz="0" w:space="0" w:color="auto"/>
      </w:divBdr>
    </w:div>
    <w:div w:id="111244100">
      <w:bodyDiv w:val="1"/>
      <w:marLeft w:val="0"/>
      <w:marRight w:val="0"/>
      <w:marTop w:val="0"/>
      <w:marBottom w:val="0"/>
      <w:divBdr>
        <w:top w:val="none" w:sz="0" w:space="0" w:color="auto"/>
        <w:left w:val="none" w:sz="0" w:space="0" w:color="auto"/>
        <w:bottom w:val="none" w:sz="0" w:space="0" w:color="auto"/>
        <w:right w:val="none" w:sz="0" w:space="0" w:color="auto"/>
      </w:divBdr>
    </w:div>
    <w:div w:id="140968661">
      <w:bodyDiv w:val="1"/>
      <w:marLeft w:val="0"/>
      <w:marRight w:val="0"/>
      <w:marTop w:val="0"/>
      <w:marBottom w:val="0"/>
      <w:divBdr>
        <w:top w:val="none" w:sz="0" w:space="0" w:color="auto"/>
        <w:left w:val="none" w:sz="0" w:space="0" w:color="auto"/>
        <w:bottom w:val="none" w:sz="0" w:space="0" w:color="auto"/>
        <w:right w:val="none" w:sz="0" w:space="0" w:color="auto"/>
      </w:divBdr>
    </w:div>
    <w:div w:id="167602621">
      <w:bodyDiv w:val="1"/>
      <w:marLeft w:val="0"/>
      <w:marRight w:val="0"/>
      <w:marTop w:val="0"/>
      <w:marBottom w:val="0"/>
      <w:divBdr>
        <w:top w:val="none" w:sz="0" w:space="0" w:color="auto"/>
        <w:left w:val="none" w:sz="0" w:space="0" w:color="auto"/>
        <w:bottom w:val="none" w:sz="0" w:space="0" w:color="auto"/>
        <w:right w:val="none" w:sz="0" w:space="0" w:color="auto"/>
      </w:divBdr>
    </w:div>
    <w:div w:id="282810091">
      <w:bodyDiv w:val="1"/>
      <w:marLeft w:val="0"/>
      <w:marRight w:val="0"/>
      <w:marTop w:val="0"/>
      <w:marBottom w:val="0"/>
      <w:divBdr>
        <w:top w:val="none" w:sz="0" w:space="0" w:color="auto"/>
        <w:left w:val="none" w:sz="0" w:space="0" w:color="auto"/>
        <w:bottom w:val="none" w:sz="0" w:space="0" w:color="auto"/>
        <w:right w:val="none" w:sz="0" w:space="0" w:color="auto"/>
      </w:divBdr>
    </w:div>
    <w:div w:id="302470365">
      <w:bodyDiv w:val="1"/>
      <w:marLeft w:val="0"/>
      <w:marRight w:val="0"/>
      <w:marTop w:val="0"/>
      <w:marBottom w:val="0"/>
      <w:divBdr>
        <w:top w:val="none" w:sz="0" w:space="0" w:color="auto"/>
        <w:left w:val="none" w:sz="0" w:space="0" w:color="auto"/>
        <w:bottom w:val="none" w:sz="0" w:space="0" w:color="auto"/>
        <w:right w:val="none" w:sz="0" w:space="0" w:color="auto"/>
      </w:divBdr>
    </w:div>
    <w:div w:id="317729818">
      <w:bodyDiv w:val="1"/>
      <w:marLeft w:val="0"/>
      <w:marRight w:val="0"/>
      <w:marTop w:val="0"/>
      <w:marBottom w:val="0"/>
      <w:divBdr>
        <w:top w:val="none" w:sz="0" w:space="0" w:color="auto"/>
        <w:left w:val="none" w:sz="0" w:space="0" w:color="auto"/>
        <w:bottom w:val="none" w:sz="0" w:space="0" w:color="auto"/>
        <w:right w:val="none" w:sz="0" w:space="0" w:color="auto"/>
      </w:divBdr>
    </w:div>
    <w:div w:id="343753534">
      <w:bodyDiv w:val="1"/>
      <w:marLeft w:val="0"/>
      <w:marRight w:val="0"/>
      <w:marTop w:val="0"/>
      <w:marBottom w:val="0"/>
      <w:divBdr>
        <w:top w:val="none" w:sz="0" w:space="0" w:color="auto"/>
        <w:left w:val="none" w:sz="0" w:space="0" w:color="auto"/>
        <w:bottom w:val="none" w:sz="0" w:space="0" w:color="auto"/>
        <w:right w:val="none" w:sz="0" w:space="0" w:color="auto"/>
      </w:divBdr>
    </w:div>
    <w:div w:id="410124317">
      <w:bodyDiv w:val="1"/>
      <w:marLeft w:val="0"/>
      <w:marRight w:val="0"/>
      <w:marTop w:val="0"/>
      <w:marBottom w:val="0"/>
      <w:divBdr>
        <w:top w:val="none" w:sz="0" w:space="0" w:color="auto"/>
        <w:left w:val="none" w:sz="0" w:space="0" w:color="auto"/>
        <w:bottom w:val="none" w:sz="0" w:space="0" w:color="auto"/>
        <w:right w:val="none" w:sz="0" w:space="0" w:color="auto"/>
      </w:divBdr>
    </w:div>
    <w:div w:id="486439321">
      <w:bodyDiv w:val="1"/>
      <w:marLeft w:val="0"/>
      <w:marRight w:val="0"/>
      <w:marTop w:val="0"/>
      <w:marBottom w:val="0"/>
      <w:divBdr>
        <w:top w:val="none" w:sz="0" w:space="0" w:color="auto"/>
        <w:left w:val="none" w:sz="0" w:space="0" w:color="auto"/>
        <w:bottom w:val="none" w:sz="0" w:space="0" w:color="auto"/>
        <w:right w:val="none" w:sz="0" w:space="0" w:color="auto"/>
      </w:divBdr>
    </w:div>
    <w:div w:id="571625950">
      <w:bodyDiv w:val="1"/>
      <w:marLeft w:val="0"/>
      <w:marRight w:val="0"/>
      <w:marTop w:val="0"/>
      <w:marBottom w:val="0"/>
      <w:divBdr>
        <w:top w:val="none" w:sz="0" w:space="0" w:color="auto"/>
        <w:left w:val="none" w:sz="0" w:space="0" w:color="auto"/>
        <w:bottom w:val="none" w:sz="0" w:space="0" w:color="auto"/>
        <w:right w:val="none" w:sz="0" w:space="0" w:color="auto"/>
      </w:divBdr>
    </w:div>
    <w:div w:id="583416821">
      <w:bodyDiv w:val="1"/>
      <w:marLeft w:val="0"/>
      <w:marRight w:val="0"/>
      <w:marTop w:val="0"/>
      <w:marBottom w:val="0"/>
      <w:divBdr>
        <w:top w:val="none" w:sz="0" w:space="0" w:color="auto"/>
        <w:left w:val="none" w:sz="0" w:space="0" w:color="auto"/>
        <w:bottom w:val="none" w:sz="0" w:space="0" w:color="auto"/>
        <w:right w:val="none" w:sz="0" w:space="0" w:color="auto"/>
      </w:divBdr>
    </w:div>
    <w:div w:id="586767057">
      <w:bodyDiv w:val="1"/>
      <w:marLeft w:val="0"/>
      <w:marRight w:val="0"/>
      <w:marTop w:val="0"/>
      <w:marBottom w:val="0"/>
      <w:divBdr>
        <w:top w:val="none" w:sz="0" w:space="0" w:color="auto"/>
        <w:left w:val="none" w:sz="0" w:space="0" w:color="auto"/>
        <w:bottom w:val="none" w:sz="0" w:space="0" w:color="auto"/>
        <w:right w:val="none" w:sz="0" w:space="0" w:color="auto"/>
      </w:divBdr>
    </w:div>
    <w:div w:id="615598467">
      <w:bodyDiv w:val="1"/>
      <w:marLeft w:val="0"/>
      <w:marRight w:val="0"/>
      <w:marTop w:val="0"/>
      <w:marBottom w:val="0"/>
      <w:divBdr>
        <w:top w:val="none" w:sz="0" w:space="0" w:color="auto"/>
        <w:left w:val="none" w:sz="0" w:space="0" w:color="auto"/>
        <w:bottom w:val="none" w:sz="0" w:space="0" w:color="auto"/>
        <w:right w:val="none" w:sz="0" w:space="0" w:color="auto"/>
      </w:divBdr>
    </w:div>
    <w:div w:id="637032566">
      <w:bodyDiv w:val="1"/>
      <w:marLeft w:val="0"/>
      <w:marRight w:val="0"/>
      <w:marTop w:val="0"/>
      <w:marBottom w:val="0"/>
      <w:divBdr>
        <w:top w:val="none" w:sz="0" w:space="0" w:color="auto"/>
        <w:left w:val="none" w:sz="0" w:space="0" w:color="auto"/>
        <w:bottom w:val="none" w:sz="0" w:space="0" w:color="auto"/>
        <w:right w:val="none" w:sz="0" w:space="0" w:color="auto"/>
      </w:divBdr>
    </w:div>
    <w:div w:id="638924701">
      <w:bodyDiv w:val="1"/>
      <w:marLeft w:val="0"/>
      <w:marRight w:val="0"/>
      <w:marTop w:val="0"/>
      <w:marBottom w:val="0"/>
      <w:divBdr>
        <w:top w:val="none" w:sz="0" w:space="0" w:color="auto"/>
        <w:left w:val="none" w:sz="0" w:space="0" w:color="auto"/>
        <w:bottom w:val="none" w:sz="0" w:space="0" w:color="auto"/>
        <w:right w:val="none" w:sz="0" w:space="0" w:color="auto"/>
      </w:divBdr>
    </w:div>
    <w:div w:id="656229994">
      <w:bodyDiv w:val="1"/>
      <w:marLeft w:val="0"/>
      <w:marRight w:val="0"/>
      <w:marTop w:val="0"/>
      <w:marBottom w:val="0"/>
      <w:divBdr>
        <w:top w:val="none" w:sz="0" w:space="0" w:color="auto"/>
        <w:left w:val="none" w:sz="0" w:space="0" w:color="auto"/>
        <w:bottom w:val="none" w:sz="0" w:space="0" w:color="auto"/>
        <w:right w:val="none" w:sz="0" w:space="0" w:color="auto"/>
      </w:divBdr>
    </w:div>
    <w:div w:id="880241339">
      <w:bodyDiv w:val="1"/>
      <w:marLeft w:val="0"/>
      <w:marRight w:val="0"/>
      <w:marTop w:val="0"/>
      <w:marBottom w:val="0"/>
      <w:divBdr>
        <w:top w:val="none" w:sz="0" w:space="0" w:color="auto"/>
        <w:left w:val="none" w:sz="0" w:space="0" w:color="auto"/>
        <w:bottom w:val="none" w:sz="0" w:space="0" w:color="auto"/>
        <w:right w:val="none" w:sz="0" w:space="0" w:color="auto"/>
      </w:divBdr>
    </w:div>
    <w:div w:id="894777744">
      <w:bodyDiv w:val="1"/>
      <w:marLeft w:val="0"/>
      <w:marRight w:val="0"/>
      <w:marTop w:val="0"/>
      <w:marBottom w:val="0"/>
      <w:divBdr>
        <w:top w:val="none" w:sz="0" w:space="0" w:color="auto"/>
        <w:left w:val="none" w:sz="0" w:space="0" w:color="auto"/>
        <w:bottom w:val="none" w:sz="0" w:space="0" w:color="auto"/>
        <w:right w:val="none" w:sz="0" w:space="0" w:color="auto"/>
      </w:divBdr>
    </w:div>
    <w:div w:id="983050091">
      <w:bodyDiv w:val="1"/>
      <w:marLeft w:val="0"/>
      <w:marRight w:val="0"/>
      <w:marTop w:val="0"/>
      <w:marBottom w:val="0"/>
      <w:divBdr>
        <w:top w:val="none" w:sz="0" w:space="0" w:color="auto"/>
        <w:left w:val="none" w:sz="0" w:space="0" w:color="auto"/>
        <w:bottom w:val="none" w:sz="0" w:space="0" w:color="auto"/>
        <w:right w:val="none" w:sz="0" w:space="0" w:color="auto"/>
      </w:divBdr>
    </w:div>
    <w:div w:id="1142190364">
      <w:bodyDiv w:val="1"/>
      <w:marLeft w:val="0"/>
      <w:marRight w:val="0"/>
      <w:marTop w:val="0"/>
      <w:marBottom w:val="0"/>
      <w:divBdr>
        <w:top w:val="none" w:sz="0" w:space="0" w:color="auto"/>
        <w:left w:val="none" w:sz="0" w:space="0" w:color="auto"/>
        <w:bottom w:val="none" w:sz="0" w:space="0" w:color="auto"/>
        <w:right w:val="none" w:sz="0" w:space="0" w:color="auto"/>
      </w:divBdr>
    </w:div>
    <w:div w:id="1213077949">
      <w:bodyDiv w:val="1"/>
      <w:marLeft w:val="0"/>
      <w:marRight w:val="0"/>
      <w:marTop w:val="0"/>
      <w:marBottom w:val="0"/>
      <w:divBdr>
        <w:top w:val="none" w:sz="0" w:space="0" w:color="auto"/>
        <w:left w:val="none" w:sz="0" w:space="0" w:color="auto"/>
        <w:bottom w:val="none" w:sz="0" w:space="0" w:color="auto"/>
        <w:right w:val="none" w:sz="0" w:space="0" w:color="auto"/>
      </w:divBdr>
    </w:div>
    <w:div w:id="1315061803">
      <w:bodyDiv w:val="1"/>
      <w:marLeft w:val="0"/>
      <w:marRight w:val="0"/>
      <w:marTop w:val="0"/>
      <w:marBottom w:val="0"/>
      <w:divBdr>
        <w:top w:val="none" w:sz="0" w:space="0" w:color="auto"/>
        <w:left w:val="none" w:sz="0" w:space="0" w:color="auto"/>
        <w:bottom w:val="none" w:sz="0" w:space="0" w:color="auto"/>
        <w:right w:val="none" w:sz="0" w:space="0" w:color="auto"/>
      </w:divBdr>
    </w:div>
    <w:div w:id="1327510989">
      <w:bodyDiv w:val="1"/>
      <w:marLeft w:val="0"/>
      <w:marRight w:val="0"/>
      <w:marTop w:val="0"/>
      <w:marBottom w:val="0"/>
      <w:divBdr>
        <w:top w:val="none" w:sz="0" w:space="0" w:color="auto"/>
        <w:left w:val="none" w:sz="0" w:space="0" w:color="auto"/>
        <w:bottom w:val="none" w:sz="0" w:space="0" w:color="auto"/>
        <w:right w:val="none" w:sz="0" w:space="0" w:color="auto"/>
      </w:divBdr>
    </w:div>
    <w:div w:id="1374381213">
      <w:bodyDiv w:val="1"/>
      <w:marLeft w:val="0"/>
      <w:marRight w:val="0"/>
      <w:marTop w:val="0"/>
      <w:marBottom w:val="0"/>
      <w:divBdr>
        <w:top w:val="none" w:sz="0" w:space="0" w:color="auto"/>
        <w:left w:val="none" w:sz="0" w:space="0" w:color="auto"/>
        <w:bottom w:val="none" w:sz="0" w:space="0" w:color="auto"/>
        <w:right w:val="none" w:sz="0" w:space="0" w:color="auto"/>
      </w:divBdr>
    </w:div>
    <w:div w:id="1449469803">
      <w:bodyDiv w:val="1"/>
      <w:marLeft w:val="0"/>
      <w:marRight w:val="0"/>
      <w:marTop w:val="0"/>
      <w:marBottom w:val="0"/>
      <w:divBdr>
        <w:top w:val="none" w:sz="0" w:space="0" w:color="auto"/>
        <w:left w:val="none" w:sz="0" w:space="0" w:color="auto"/>
        <w:bottom w:val="none" w:sz="0" w:space="0" w:color="auto"/>
        <w:right w:val="none" w:sz="0" w:space="0" w:color="auto"/>
      </w:divBdr>
      <w:divsChild>
        <w:div w:id="1164709320">
          <w:marLeft w:val="0"/>
          <w:marRight w:val="0"/>
          <w:marTop w:val="0"/>
          <w:marBottom w:val="0"/>
          <w:divBdr>
            <w:top w:val="none" w:sz="0" w:space="0" w:color="auto"/>
            <w:left w:val="none" w:sz="0" w:space="0" w:color="auto"/>
            <w:bottom w:val="none" w:sz="0" w:space="0" w:color="auto"/>
            <w:right w:val="none" w:sz="0" w:space="0" w:color="auto"/>
          </w:divBdr>
          <w:divsChild>
            <w:div w:id="331878126">
              <w:marLeft w:val="0"/>
              <w:marRight w:val="0"/>
              <w:marTop w:val="0"/>
              <w:marBottom w:val="0"/>
              <w:divBdr>
                <w:top w:val="none" w:sz="0" w:space="0" w:color="auto"/>
                <w:left w:val="none" w:sz="0" w:space="0" w:color="auto"/>
                <w:bottom w:val="none" w:sz="0" w:space="0" w:color="auto"/>
                <w:right w:val="none" w:sz="0" w:space="0" w:color="auto"/>
              </w:divBdr>
            </w:div>
          </w:divsChild>
        </w:div>
        <w:div w:id="1935554212">
          <w:marLeft w:val="0"/>
          <w:marRight w:val="0"/>
          <w:marTop w:val="0"/>
          <w:marBottom w:val="0"/>
          <w:divBdr>
            <w:top w:val="none" w:sz="0" w:space="0" w:color="auto"/>
            <w:left w:val="none" w:sz="0" w:space="0" w:color="auto"/>
            <w:bottom w:val="none" w:sz="0" w:space="0" w:color="auto"/>
            <w:right w:val="none" w:sz="0" w:space="0" w:color="auto"/>
          </w:divBdr>
          <w:divsChild>
            <w:div w:id="1691879354">
              <w:marLeft w:val="0"/>
              <w:marRight w:val="0"/>
              <w:marTop w:val="0"/>
              <w:marBottom w:val="0"/>
              <w:divBdr>
                <w:top w:val="none" w:sz="0" w:space="0" w:color="auto"/>
                <w:left w:val="none" w:sz="0" w:space="0" w:color="auto"/>
                <w:bottom w:val="none" w:sz="0" w:space="0" w:color="auto"/>
                <w:right w:val="none" w:sz="0" w:space="0" w:color="auto"/>
              </w:divBdr>
              <w:divsChild>
                <w:div w:id="136374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61088">
      <w:bodyDiv w:val="1"/>
      <w:marLeft w:val="0"/>
      <w:marRight w:val="0"/>
      <w:marTop w:val="0"/>
      <w:marBottom w:val="0"/>
      <w:divBdr>
        <w:top w:val="none" w:sz="0" w:space="0" w:color="auto"/>
        <w:left w:val="none" w:sz="0" w:space="0" w:color="auto"/>
        <w:bottom w:val="none" w:sz="0" w:space="0" w:color="auto"/>
        <w:right w:val="none" w:sz="0" w:space="0" w:color="auto"/>
      </w:divBdr>
    </w:div>
    <w:div w:id="1698434615">
      <w:bodyDiv w:val="1"/>
      <w:marLeft w:val="0"/>
      <w:marRight w:val="0"/>
      <w:marTop w:val="0"/>
      <w:marBottom w:val="0"/>
      <w:divBdr>
        <w:top w:val="none" w:sz="0" w:space="0" w:color="auto"/>
        <w:left w:val="none" w:sz="0" w:space="0" w:color="auto"/>
        <w:bottom w:val="none" w:sz="0" w:space="0" w:color="auto"/>
        <w:right w:val="none" w:sz="0" w:space="0" w:color="auto"/>
      </w:divBdr>
    </w:div>
    <w:div w:id="1734311833">
      <w:bodyDiv w:val="1"/>
      <w:marLeft w:val="0"/>
      <w:marRight w:val="0"/>
      <w:marTop w:val="0"/>
      <w:marBottom w:val="0"/>
      <w:divBdr>
        <w:top w:val="none" w:sz="0" w:space="0" w:color="auto"/>
        <w:left w:val="none" w:sz="0" w:space="0" w:color="auto"/>
        <w:bottom w:val="none" w:sz="0" w:space="0" w:color="auto"/>
        <w:right w:val="none" w:sz="0" w:space="0" w:color="auto"/>
      </w:divBdr>
      <w:divsChild>
        <w:div w:id="182598021">
          <w:marLeft w:val="0"/>
          <w:marRight w:val="0"/>
          <w:marTop w:val="0"/>
          <w:marBottom w:val="0"/>
          <w:divBdr>
            <w:top w:val="none" w:sz="0" w:space="0" w:color="auto"/>
            <w:left w:val="none" w:sz="0" w:space="0" w:color="auto"/>
            <w:bottom w:val="none" w:sz="0" w:space="0" w:color="auto"/>
            <w:right w:val="none" w:sz="0" w:space="0" w:color="auto"/>
          </w:divBdr>
          <w:divsChild>
            <w:div w:id="1121461104">
              <w:marLeft w:val="0"/>
              <w:marRight w:val="0"/>
              <w:marTop w:val="0"/>
              <w:marBottom w:val="0"/>
              <w:divBdr>
                <w:top w:val="none" w:sz="0" w:space="0" w:color="auto"/>
                <w:left w:val="none" w:sz="0" w:space="0" w:color="auto"/>
                <w:bottom w:val="none" w:sz="0" w:space="0" w:color="auto"/>
                <w:right w:val="none" w:sz="0" w:space="0" w:color="auto"/>
              </w:divBdr>
            </w:div>
          </w:divsChild>
        </w:div>
        <w:div w:id="767429782">
          <w:marLeft w:val="0"/>
          <w:marRight w:val="0"/>
          <w:marTop w:val="0"/>
          <w:marBottom w:val="0"/>
          <w:divBdr>
            <w:top w:val="none" w:sz="0" w:space="0" w:color="auto"/>
            <w:left w:val="none" w:sz="0" w:space="0" w:color="auto"/>
            <w:bottom w:val="none" w:sz="0" w:space="0" w:color="auto"/>
            <w:right w:val="none" w:sz="0" w:space="0" w:color="auto"/>
          </w:divBdr>
          <w:divsChild>
            <w:div w:id="1408378630">
              <w:marLeft w:val="0"/>
              <w:marRight w:val="0"/>
              <w:marTop w:val="0"/>
              <w:marBottom w:val="0"/>
              <w:divBdr>
                <w:top w:val="none" w:sz="0" w:space="0" w:color="auto"/>
                <w:left w:val="none" w:sz="0" w:space="0" w:color="auto"/>
                <w:bottom w:val="none" w:sz="0" w:space="0" w:color="auto"/>
                <w:right w:val="none" w:sz="0" w:space="0" w:color="auto"/>
              </w:divBdr>
              <w:divsChild>
                <w:div w:id="19430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93293">
      <w:bodyDiv w:val="1"/>
      <w:marLeft w:val="0"/>
      <w:marRight w:val="0"/>
      <w:marTop w:val="0"/>
      <w:marBottom w:val="0"/>
      <w:divBdr>
        <w:top w:val="none" w:sz="0" w:space="0" w:color="auto"/>
        <w:left w:val="none" w:sz="0" w:space="0" w:color="auto"/>
        <w:bottom w:val="none" w:sz="0" w:space="0" w:color="auto"/>
        <w:right w:val="none" w:sz="0" w:space="0" w:color="auto"/>
      </w:divBdr>
    </w:div>
    <w:div w:id="1876428592">
      <w:bodyDiv w:val="1"/>
      <w:marLeft w:val="0"/>
      <w:marRight w:val="0"/>
      <w:marTop w:val="0"/>
      <w:marBottom w:val="0"/>
      <w:divBdr>
        <w:top w:val="none" w:sz="0" w:space="0" w:color="auto"/>
        <w:left w:val="none" w:sz="0" w:space="0" w:color="auto"/>
        <w:bottom w:val="none" w:sz="0" w:space="0" w:color="auto"/>
        <w:right w:val="none" w:sz="0" w:space="0" w:color="auto"/>
      </w:divBdr>
    </w:div>
    <w:div w:id="1987584671">
      <w:bodyDiv w:val="1"/>
      <w:marLeft w:val="0"/>
      <w:marRight w:val="0"/>
      <w:marTop w:val="0"/>
      <w:marBottom w:val="0"/>
      <w:divBdr>
        <w:top w:val="none" w:sz="0" w:space="0" w:color="auto"/>
        <w:left w:val="none" w:sz="0" w:space="0" w:color="auto"/>
        <w:bottom w:val="none" w:sz="0" w:space="0" w:color="auto"/>
        <w:right w:val="none" w:sz="0" w:space="0" w:color="auto"/>
      </w:divBdr>
    </w:div>
    <w:div w:id="2011131429">
      <w:bodyDiv w:val="1"/>
      <w:marLeft w:val="0"/>
      <w:marRight w:val="0"/>
      <w:marTop w:val="0"/>
      <w:marBottom w:val="0"/>
      <w:divBdr>
        <w:top w:val="none" w:sz="0" w:space="0" w:color="auto"/>
        <w:left w:val="none" w:sz="0" w:space="0" w:color="auto"/>
        <w:bottom w:val="none" w:sz="0" w:space="0" w:color="auto"/>
        <w:right w:val="none" w:sz="0" w:space="0" w:color="auto"/>
      </w:divBdr>
    </w:div>
    <w:div w:id="206001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1552A-B874-3D45-9DC4-4E107663E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1031</Words>
  <Characters>5879</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hk3376</dc:creator>
  <cp:keywords/>
  <dc:description/>
  <cp:lastModifiedBy>hk3376</cp:lastModifiedBy>
  <cp:revision>28</cp:revision>
  <dcterms:created xsi:type="dcterms:W3CDTF">2024-11-27T16:44:00Z</dcterms:created>
  <dcterms:modified xsi:type="dcterms:W3CDTF">2024-11-27T17:48:00Z</dcterms:modified>
</cp:coreProperties>
</file>