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6EF51" w14:textId="103CD73B" w:rsidR="00D307F6" w:rsidRDefault="00D307F6">
      <w:pPr>
        <w:rPr>
          <w:b/>
          <w:bCs/>
        </w:rPr>
      </w:pPr>
      <w:r>
        <w:rPr>
          <w:b/>
          <w:bCs/>
        </w:rPr>
        <w:t>I – Introduction</w:t>
      </w:r>
    </w:p>
    <w:p w14:paraId="09199FC5" w14:textId="136D9CAE" w:rsidR="00422C1B" w:rsidRDefault="004B6914" w:rsidP="005347C3">
      <w:pPr>
        <w:ind w:firstLine="720"/>
      </w:pPr>
      <w:r>
        <w:t>Philip Morris International</w:t>
      </w:r>
      <w:r w:rsidR="001C1310">
        <w:t xml:space="preserve"> (PMI)</w:t>
      </w:r>
      <w:r>
        <w:t>, British American Tobacco</w:t>
      </w:r>
      <w:r w:rsidR="001C1310">
        <w:t xml:space="preserve"> (BAT)</w:t>
      </w:r>
      <w:r>
        <w:t>, and Japan Tobacco Inc.</w:t>
      </w:r>
      <w:r w:rsidR="001C1310">
        <w:t xml:space="preserve"> (JPI)</w:t>
      </w:r>
      <w:r>
        <w:t xml:space="preserve"> are among the chief players in the </w:t>
      </w:r>
      <w:r w:rsidR="00B830E1">
        <w:t xml:space="preserve">Vietnamese </w:t>
      </w:r>
      <w:r w:rsidR="00E767EA">
        <w:t xml:space="preserve">tobacco market. </w:t>
      </w:r>
      <w:r w:rsidR="00904A3E">
        <w:t xml:space="preserve">Thus, </w:t>
      </w:r>
      <w:r w:rsidR="009A1820">
        <w:t xml:space="preserve">an </w:t>
      </w:r>
      <w:r w:rsidR="00904A3E">
        <w:t xml:space="preserve">understanding </w:t>
      </w:r>
      <w:r w:rsidR="00054256">
        <w:t xml:space="preserve">of </w:t>
      </w:r>
      <w:r w:rsidR="00B3574F">
        <w:t xml:space="preserve">the </w:t>
      </w:r>
      <w:r w:rsidR="00E645C9">
        <w:t>rate</w:t>
      </w:r>
      <w:r w:rsidR="00B3574F">
        <w:t xml:space="preserve"> </w:t>
      </w:r>
      <w:r w:rsidR="00EB42C3">
        <w:t xml:space="preserve">at which their </w:t>
      </w:r>
      <w:r w:rsidR="00E645C9">
        <w:t xml:space="preserve">new </w:t>
      </w:r>
      <w:r w:rsidR="00EB42C3">
        <w:t>products enter</w:t>
      </w:r>
      <w:r w:rsidR="000A3041">
        <w:t xml:space="preserve"> the market </w:t>
      </w:r>
      <w:r w:rsidR="00E645C9">
        <w:t xml:space="preserve">and </w:t>
      </w:r>
      <w:r w:rsidR="000C486F">
        <w:t>current</w:t>
      </w:r>
      <w:r w:rsidR="00E645C9">
        <w:t xml:space="preserve"> intellectual</w:t>
      </w:r>
      <w:r w:rsidR="005814D0">
        <w:t xml:space="preserve"> </w:t>
      </w:r>
      <w:r w:rsidR="00E645C9">
        <w:t xml:space="preserve">property </w:t>
      </w:r>
      <w:r w:rsidR="005026AF">
        <w:t>barrier</w:t>
      </w:r>
      <w:r w:rsidR="000C486F">
        <w:t>s</w:t>
      </w:r>
      <w:r w:rsidR="005026AF">
        <w:t xml:space="preserve"> </w:t>
      </w:r>
      <w:r w:rsidR="00B22858">
        <w:t xml:space="preserve">might </w:t>
      </w:r>
      <w:r w:rsidR="005814D0">
        <w:t xml:space="preserve">be crucial </w:t>
      </w:r>
      <w:r w:rsidR="00054256">
        <w:t xml:space="preserve">to </w:t>
      </w:r>
      <w:r w:rsidR="009E1D6D">
        <w:t>policy reform</w:t>
      </w:r>
      <w:r w:rsidR="00865046">
        <w:t xml:space="preserve"> process</w:t>
      </w:r>
      <w:r w:rsidR="006E2489">
        <w:t>es</w:t>
      </w:r>
      <w:r w:rsidR="009E1D6D">
        <w:t xml:space="preserve"> </w:t>
      </w:r>
      <w:r w:rsidR="00835022">
        <w:t xml:space="preserve">aimed at smoking reduction. </w:t>
      </w:r>
    </w:p>
    <w:p w14:paraId="5317B43B" w14:textId="58A864F6" w:rsidR="00C10B0A" w:rsidRPr="00422C1B" w:rsidRDefault="005843D2" w:rsidP="005347C3">
      <w:pPr>
        <w:ind w:firstLine="720"/>
      </w:pPr>
      <w:r>
        <w:t xml:space="preserve">This </w:t>
      </w:r>
      <w:r w:rsidR="00FF5B29">
        <w:t>report</w:t>
      </w:r>
      <w:r>
        <w:t xml:space="preserve"> presents </w:t>
      </w:r>
      <w:r w:rsidR="00D259BD">
        <w:t xml:space="preserve">an exploratory analysis we conducted on the </w:t>
      </w:r>
      <w:r w:rsidR="0025222C" w:rsidRPr="0025222C">
        <w:rPr>
          <w:noProof/>
        </w:rPr>
        <w:t>Industrial Property Digital Library</w:t>
      </w:r>
      <w:r w:rsidR="0025222C">
        <w:t xml:space="preserve"> of the </w:t>
      </w:r>
      <w:r w:rsidR="0025222C">
        <w:t>National Office of Intellectual Property of Vietnam</w:t>
      </w:r>
      <w:r w:rsidR="00044D63">
        <w:t xml:space="preserve"> (OIP)</w:t>
      </w:r>
      <w:r w:rsidR="00FF5B29">
        <w:t>.</w:t>
      </w:r>
      <w:r w:rsidR="002B71D9">
        <w:t xml:space="preserve"> Our goal is to </w:t>
      </w:r>
      <w:r w:rsidR="00AF7052">
        <w:t xml:space="preserve">identify the characteristics of </w:t>
      </w:r>
      <w:r w:rsidR="0053315C">
        <w:t>trademarks registered by these three corporations</w:t>
      </w:r>
      <w:r w:rsidR="00222B30">
        <w:t xml:space="preserve"> from 1/1/2015 to 30/6/2019</w:t>
      </w:r>
      <w:r w:rsidR="005466D1">
        <w:t>.</w:t>
      </w:r>
    </w:p>
    <w:p w14:paraId="4157C09A" w14:textId="3712F7EC" w:rsidR="00D307F6" w:rsidRDefault="00D307F6">
      <w:pPr>
        <w:rPr>
          <w:b/>
          <w:bCs/>
        </w:rPr>
      </w:pPr>
      <w:r>
        <w:rPr>
          <w:b/>
          <w:bCs/>
        </w:rPr>
        <w:t>II – Methodology</w:t>
      </w:r>
    </w:p>
    <w:p w14:paraId="307B1572" w14:textId="5CB3AC4D" w:rsidR="006A0F8D" w:rsidRPr="004F413C" w:rsidRDefault="006A0F8D" w:rsidP="00123214">
      <w:pPr>
        <w:ind w:firstLine="720"/>
        <w:rPr>
          <w:u w:val="single"/>
        </w:rPr>
      </w:pPr>
      <w:r w:rsidRPr="004F413C">
        <w:rPr>
          <w:u w:val="single"/>
        </w:rPr>
        <w:t>1. Data retrieval</w:t>
      </w:r>
    </w:p>
    <w:p w14:paraId="411580D9" w14:textId="73E3EB33" w:rsidR="0022467F" w:rsidRDefault="000210A6" w:rsidP="0022467F">
      <w:pPr>
        <w:ind w:firstLine="720"/>
      </w:pPr>
      <w:r>
        <w:t>Using a Python web scraper, w</w:t>
      </w:r>
      <w:r w:rsidR="00422C1B">
        <w:t xml:space="preserve">e retrieved </w:t>
      </w:r>
      <w:r w:rsidR="001F7F17">
        <w:t xml:space="preserve">information of </w:t>
      </w:r>
      <w:r w:rsidR="00FD033D">
        <w:t xml:space="preserve">all </w:t>
      </w:r>
      <w:r w:rsidR="00D15BF6">
        <w:t>category-34 (tobacco-related) trademarks</w:t>
      </w:r>
      <w:r w:rsidR="00894354">
        <w:t xml:space="preserve"> registered to the National Office of Intellectual Property of Vietnam</w:t>
      </w:r>
      <w:r w:rsidR="009B0224">
        <w:t xml:space="preserve"> from 1/1/2015 to 30/6/2019</w:t>
      </w:r>
      <w:r w:rsidR="008F077D">
        <w:t xml:space="preserve"> (See query in Figure 1)</w:t>
      </w:r>
      <w:r>
        <w:t>.</w:t>
      </w:r>
      <w:r w:rsidR="001F7F17">
        <w:t xml:space="preserve"> We then used the keywords “Philip Morris”, “Philip-Morris”, “British American”, “CTBAT”, and “Japan Tobacco” to select </w:t>
      </w:r>
      <w:r w:rsidR="00937F14">
        <w:t>trademarks from Phillip Morris International</w:t>
      </w:r>
      <w:r w:rsidR="00622FA4">
        <w:t xml:space="preserve"> (PMI)</w:t>
      </w:r>
      <w:r w:rsidR="00937F14">
        <w:t xml:space="preserve">, British American Tobacco </w:t>
      </w:r>
      <w:r w:rsidR="00622FA4">
        <w:t xml:space="preserve">(BAT) </w:t>
      </w:r>
      <w:r w:rsidR="00937F14">
        <w:t>and Japan Tobacco International</w:t>
      </w:r>
      <w:r w:rsidR="00622FA4">
        <w:t xml:space="preserve"> (JTI)</w:t>
      </w:r>
      <w:r w:rsidR="00937F14">
        <w:t xml:space="preserve"> </w:t>
      </w:r>
      <w:r w:rsidR="00204CCD">
        <w:t>branches.</w:t>
      </w:r>
      <w:r w:rsidR="003D54E0">
        <w:t xml:space="preserve"> </w:t>
      </w:r>
      <w:r w:rsidR="0022467F">
        <w:t>The dataset has 12 columns</w:t>
      </w:r>
      <w:r w:rsidR="0022467F">
        <w:t xml:space="preserve"> whose name</w:t>
      </w:r>
      <w:r w:rsidR="00AA4674">
        <w:t>s</w:t>
      </w:r>
      <w:r w:rsidR="0022467F">
        <w:t xml:space="preserve"> and value type</w:t>
      </w:r>
      <w:r w:rsidR="00AA4674">
        <w:t>s</w:t>
      </w:r>
      <w:r w:rsidR="0022467F">
        <w:t xml:space="preserve"> are </w:t>
      </w:r>
      <w:r w:rsidR="0022467F">
        <w:t xml:space="preserve">presented in Table </w:t>
      </w:r>
      <w:r w:rsidR="0022467F">
        <w:t>1</w:t>
      </w:r>
      <w:r w:rsidR="0022467F">
        <w:t>.</w:t>
      </w:r>
    </w:p>
    <w:p w14:paraId="3851CCE1" w14:textId="1C896032" w:rsidR="0069284D" w:rsidRDefault="00415C13" w:rsidP="00451D7C">
      <w:pPr>
        <w:ind w:firstLine="720"/>
      </w:pPr>
      <w:r>
        <w:t>T</w:t>
      </w:r>
      <w:r w:rsidR="0078455C">
        <w:t>o preserve image quality and</w:t>
      </w:r>
      <w:r w:rsidR="006B5026">
        <w:t xml:space="preserve"> ease of lookup, </w:t>
      </w:r>
      <w:r w:rsidR="0022467F">
        <w:t>information regarding the trademarks</w:t>
      </w:r>
      <w:r>
        <w:t xml:space="preserve"> are presented in </w:t>
      </w:r>
      <w:r w:rsidR="00BE3409">
        <w:t xml:space="preserve">the </w:t>
      </w:r>
      <w:r w:rsidR="0078455C">
        <w:t>accompanying Excel file.</w:t>
      </w:r>
      <w:r>
        <w:t xml:space="preserve"> </w:t>
      </w:r>
    </w:p>
    <w:p w14:paraId="4350877E" w14:textId="320030A7" w:rsidR="00D203F5" w:rsidRPr="004F413C" w:rsidRDefault="00451D7C" w:rsidP="00123214">
      <w:pPr>
        <w:ind w:firstLine="720"/>
        <w:rPr>
          <w:u w:val="single"/>
        </w:rPr>
      </w:pPr>
      <w:r>
        <w:rPr>
          <w:u w:val="single"/>
        </w:rPr>
        <w:t>2</w:t>
      </w:r>
      <w:r w:rsidR="00D203F5" w:rsidRPr="004F413C">
        <w:rPr>
          <w:u w:val="single"/>
        </w:rPr>
        <w:t>. Data cleaning</w:t>
      </w:r>
    </w:p>
    <w:p w14:paraId="552DEDA3" w14:textId="619DF9DC" w:rsidR="00D203F5" w:rsidRDefault="00D203F5" w:rsidP="00123214">
      <w:pPr>
        <w:ind w:firstLine="720"/>
      </w:pPr>
      <w:r>
        <w:t>We conducted our analysis in a Jupyter notebook, using Python as our programming language.</w:t>
      </w:r>
    </w:p>
    <w:p w14:paraId="43A9CD7C" w14:textId="37BA9ED3" w:rsidR="0038614F" w:rsidRDefault="001F4107" w:rsidP="0038614F">
      <w:pPr>
        <w:ind w:firstLine="720"/>
      </w:pPr>
      <w:r>
        <w:t>For ease of analysis, we reformatted the retrieved data as follows:</w:t>
      </w:r>
    </w:p>
    <w:p w14:paraId="0D6BE430" w14:textId="59E0087F" w:rsidR="0038614F" w:rsidRDefault="0038614F" w:rsidP="0038614F">
      <w:pPr>
        <w:pStyle w:val="ListParagraph"/>
        <w:numPr>
          <w:ilvl w:val="0"/>
          <w:numId w:val="2"/>
        </w:numPr>
      </w:pPr>
      <w:r>
        <w:t>All the dates in the dataset are formatted as DD/MM/YYYY</w:t>
      </w:r>
    </w:p>
    <w:p w14:paraId="02B2DC43" w14:textId="633FF90E" w:rsidR="0038614F" w:rsidRDefault="00A709AC" w:rsidP="00451D7C">
      <w:pPr>
        <w:pStyle w:val="ListParagraph"/>
        <w:numPr>
          <w:ilvl w:val="0"/>
          <w:numId w:val="2"/>
        </w:numPr>
        <w:ind w:left="0" w:firstLine="1080"/>
      </w:pPr>
      <w:r>
        <w:lastRenderedPageBreak/>
        <w:t xml:space="preserve">Duplicated </w:t>
      </w:r>
      <w:r w:rsidR="00B9797D">
        <w:t xml:space="preserve">phrases </w:t>
      </w:r>
      <w:r w:rsidR="00F2401D">
        <w:t xml:space="preserve">in the ‘APPLICANT / RIGHT HOLDER’ column are </w:t>
      </w:r>
      <w:r w:rsidR="00B9797D">
        <w:t xml:space="preserve">eliminated. </w:t>
      </w:r>
      <w:r w:rsidR="005A06C3">
        <w:t xml:space="preserve">For example, </w:t>
      </w:r>
      <w:r w:rsidR="00847269">
        <w:t>“British American Tobacco (Brands) Inc. /</w:t>
      </w:r>
      <w:r w:rsidR="00847269" w:rsidRPr="00847269">
        <w:t xml:space="preserve"> </w:t>
      </w:r>
      <w:r w:rsidR="00847269">
        <w:t>British American Tobacco (Brands) Inc.</w:t>
      </w:r>
      <w:r w:rsidR="00847269">
        <w:t>” is modified into “</w:t>
      </w:r>
      <w:r w:rsidR="00847269">
        <w:t>British American Tobacco (Brands) Inc.</w:t>
      </w:r>
      <w:r w:rsidR="00847269">
        <w:t>“</w:t>
      </w:r>
    </w:p>
    <w:p w14:paraId="2842763D" w14:textId="34F92243" w:rsidR="00B9345C" w:rsidRDefault="00B9345C" w:rsidP="0038614F">
      <w:pPr>
        <w:pStyle w:val="ListParagraph"/>
        <w:numPr>
          <w:ilvl w:val="0"/>
          <w:numId w:val="2"/>
        </w:numPr>
      </w:pPr>
      <w:r>
        <w:t>NaN values are converted into ‘0’.</w:t>
      </w:r>
    </w:p>
    <w:p w14:paraId="54A42CA5" w14:textId="5D3C0E1E" w:rsidR="00451D7C" w:rsidRDefault="00451D7C" w:rsidP="0038614F">
      <w:pPr>
        <w:pStyle w:val="ListParagraph"/>
        <w:numPr>
          <w:ilvl w:val="0"/>
          <w:numId w:val="2"/>
        </w:numPr>
      </w:pPr>
      <w:r>
        <w:t>Variable codification</w:t>
      </w:r>
    </w:p>
    <w:p w14:paraId="017309C8" w14:textId="77777777" w:rsidR="00451D7C" w:rsidRDefault="00451D7C" w:rsidP="00451D7C">
      <w:pPr>
        <w:pStyle w:val="ListParagraph"/>
        <w:ind w:left="1440"/>
      </w:pPr>
      <w:r>
        <w:t>2.1. Product type</w:t>
      </w:r>
    </w:p>
    <w:p w14:paraId="354AFA46" w14:textId="280453F3" w:rsidR="00451D7C" w:rsidRDefault="00451D7C" w:rsidP="00451D7C">
      <w:pPr>
        <w:pStyle w:val="ListParagraph"/>
        <w:ind w:left="0" w:firstLine="1440"/>
      </w:pPr>
      <w:r>
        <w:t>B</w:t>
      </w:r>
      <w:r>
        <w:t>ased on the information in the ‘GOODS / SERVICES’ column, we assigned 1 to trademarks of type 34 whose description contains ‘Cigarettes; tobacco, raw or processed; tobacco products’, 2 to trademarks of type 11 and trademarks of type 34 whose names contain ‘heating system’, ‘THS’, ‘Heatbar’ or ‘Heat not burn’, and 3 to trademarks of type 34 whose description contains ‘Bio-gas generator for electronic cigarettes’.</w:t>
      </w:r>
    </w:p>
    <w:p w14:paraId="18702740" w14:textId="27DECE94" w:rsidR="00451D7C" w:rsidRDefault="00451D7C" w:rsidP="00451D7C">
      <w:pPr>
        <w:pStyle w:val="ListParagraph"/>
        <w:ind w:left="1440"/>
      </w:pPr>
      <w:r>
        <w:t>2.2. Status</w:t>
      </w:r>
    </w:p>
    <w:p w14:paraId="63F67854" w14:textId="011B2D86" w:rsidR="00451D7C" w:rsidRDefault="00451D7C" w:rsidP="00451D7C">
      <w:pPr>
        <w:pStyle w:val="ListParagraph"/>
        <w:ind w:left="0" w:firstLine="1440"/>
      </w:pPr>
      <w:r>
        <w:t>Based on the information presented in the Chukan Code, we assigned 0 to rejected trademarks, 1 to pending ones, and 2 to those that have been approved/granted.</w:t>
      </w:r>
    </w:p>
    <w:p w14:paraId="24D2A821" w14:textId="4917E6AC" w:rsidR="00E5087E" w:rsidRPr="004F413C" w:rsidRDefault="00451D7C" w:rsidP="00123214">
      <w:pPr>
        <w:ind w:firstLine="720"/>
        <w:rPr>
          <w:u w:val="single"/>
        </w:rPr>
      </w:pPr>
      <w:r>
        <w:rPr>
          <w:u w:val="single"/>
        </w:rPr>
        <w:t>3</w:t>
      </w:r>
      <w:r w:rsidR="00E5087E" w:rsidRPr="004F413C">
        <w:rPr>
          <w:u w:val="single"/>
        </w:rPr>
        <w:t>. Analysis</w:t>
      </w:r>
    </w:p>
    <w:p w14:paraId="54A1CB51" w14:textId="6B479D8A" w:rsidR="00B873A8" w:rsidRDefault="0048421B" w:rsidP="00123214">
      <w:pPr>
        <w:ind w:firstLine="720"/>
      </w:pPr>
      <w:r>
        <w:t xml:space="preserve">Our goal was to answer </w:t>
      </w:r>
      <w:r w:rsidR="00132B9E">
        <w:t>six</w:t>
      </w:r>
      <w:r>
        <w:t xml:space="preserve"> questions:</w:t>
      </w:r>
    </w:p>
    <w:p w14:paraId="1E384A07" w14:textId="12F709C6" w:rsidR="0048421B" w:rsidRDefault="0048421B" w:rsidP="00123214">
      <w:pPr>
        <w:ind w:firstLine="720"/>
      </w:pPr>
      <w:r>
        <w:t xml:space="preserve">1. What is the number of trademarks submitted by each company in 2015 – 2019? What is the proportion of </w:t>
      </w:r>
      <w:r w:rsidR="00162761">
        <w:t xml:space="preserve">these numbers </w:t>
      </w:r>
      <w:r w:rsidR="00241687">
        <w:t>with regard</w:t>
      </w:r>
      <w:r w:rsidR="00162761">
        <w:t xml:space="preserve"> to the total number of tobacco-related </w:t>
      </w:r>
      <w:r w:rsidR="001B6B70">
        <w:t xml:space="preserve">trademarks </w:t>
      </w:r>
      <w:r w:rsidR="00162761">
        <w:t>submitted to the National Office of Intellectual Property every year?</w:t>
      </w:r>
    </w:p>
    <w:p w14:paraId="2A3EBE55" w14:textId="3573A2F5" w:rsidR="00853839" w:rsidRDefault="00853839" w:rsidP="00123214">
      <w:pPr>
        <w:ind w:firstLine="720"/>
      </w:pPr>
      <w:r>
        <w:t xml:space="preserve">2. What is the trend in the number of submitted </w:t>
      </w:r>
      <w:r w:rsidR="00F152A5">
        <w:t xml:space="preserve">trademarks from each company throughout the </w:t>
      </w:r>
      <w:r w:rsidR="00675DCB">
        <w:t>months</w:t>
      </w:r>
      <w:r w:rsidR="00F152A5">
        <w:t>?</w:t>
      </w:r>
    </w:p>
    <w:p w14:paraId="303F532B" w14:textId="6A423D3B" w:rsidR="00132B9E" w:rsidRDefault="00132B9E" w:rsidP="00123214">
      <w:pPr>
        <w:ind w:firstLine="720"/>
      </w:pPr>
      <w:r>
        <w:t>3. What are the branches of each company that registered trademarks in Vietnam?</w:t>
      </w:r>
    </w:p>
    <w:p w14:paraId="04985A41" w14:textId="041B2C28" w:rsidR="00A62312" w:rsidRDefault="00132B9E" w:rsidP="00123214">
      <w:pPr>
        <w:ind w:firstLine="720"/>
      </w:pPr>
      <w:r>
        <w:t>4</w:t>
      </w:r>
      <w:r w:rsidR="00A62312">
        <w:t xml:space="preserve">. </w:t>
      </w:r>
      <w:r w:rsidR="00823A0E">
        <w:t xml:space="preserve">What is the distribution of trademark </w:t>
      </w:r>
      <w:r w:rsidR="00FC3FAD">
        <w:t>color in each company?</w:t>
      </w:r>
    </w:p>
    <w:p w14:paraId="7C762847" w14:textId="51B3EFD1" w:rsidR="00FC3FAD" w:rsidRDefault="00132B9E" w:rsidP="00123214">
      <w:pPr>
        <w:ind w:firstLine="720"/>
      </w:pPr>
      <w:r>
        <w:t>5</w:t>
      </w:r>
      <w:r w:rsidR="00FC3FAD">
        <w:t xml:space="preserve">. </w:t>
      </w:r>
      <w:r w:rsidR="00054C28">
        <w:t>What is the proportion of product types from each company?</w:t>
      </w:r>
    </w:p>
    <w:p w14:paraId="1334197A" w14:textId="55F2C6A7" w:rsidR="0099348B" w:rsidRDefault="00132B9E" w:rsidP="0099348B">
      <w:pPr>
        <w:ind w:firstLine="720"/>
      </w:pPr>
      <w:r>
        <w:t>6</w:t>
      </w:r>
      <w:r w:rsidR="0099348B">
        <w:t>. What is the number of denied/pending/approved trademarks from each company?</w:t>
      </w:r>
    </w:p>
    <w:p w14:paraId="5498AB4F" w14:textId="7635F582" w:rsidR="006E50AF" w:rsidRDefault="006E50AF" w:rsidP="00123214">
      <w:pPr>
        <w:ind w:firstLine="720"/>
      </w:pPr>
      <w:r>
        <w:t xml:space="preserve">To answer these questions, </w:t>
      </w:r>
      <w:r w:rsidR="0077065E">
        <w:t>we need to analyze two datasets</w:t>
      </w:r>
      <w:r w:rsidR="0042469B">
        <w:t>. The first dataset</w:t>
      </w:r>
      <w:r w:rsidR="00252BBB">
        <w:t xml:space="preserve"> (dubbed ‘all’ for convenience)</w:t>
      </w:r>
      <w:r w:rsidR="0042469B">
        <w:t xml:space="preserve"> contains </w:t>
      </w:r>
      <w:r w:rsidR="00252BBB">
        <w:t xml:space="preserve">all tobacco-related </w:t>
      </w:r>
      <w:r w:rsidR="006B5D5F">
        <w:t xml:space="preserve">trademarks registered </w:t>
      </w:r>
      <w:r w:rsidR="00733406">
        <w:t>National Office of Intellectual Property of Vietnam from 1/1/2015 to 30/6/2019</w:t>
      </w:r>
      <w:r w:rsidR="00733406">
        <w:t xml:space="preserve">. The second dataset </w:t>
      </w:r>
      <w:r w:rsidR="00733406">
        <w:lastRenderedPageBreak/>
        <w:t>(dubbed ‘main’ for convenience)</w:t>
      </w:r>
      <w:r w:rsidR="00B300FA">
        <w:t xml:space="preserve"> contains all PMI, BAT and JPI trademarks</w:t>
      </w:r>
      <w:r w:rsidR="00B300FA" w:rsidRPr="00B300FA">
        <w:t xml:space="preserve"> </w:t>
      </w:r>
      <w:r w:rsidR="00B300FA">
        <w:t>registered National Office of Intellectual Property of Vietnam from 1/1/2015 to 30/6/2019</w:t>
      </w:r>
      <w:r w:rsidR="00B300FA">
        <w:t>.</w:t>
      </w:r>
    </w:p>
    <w:p w14:paraId="561CA29D" w14:textId="2E44D529" w:rsidR="00991A5B" w:rsidRDefault="00006817" w:rsidP="00991A5B">
      <w:pPr>
        <w:ind w:firstLine="720"/>
      </w:pPr>
      <w:r>
        <w:t xml:space="preserve">From </w:t>
      </w:r>
      <w:r w:rsidR="00B052F3">
        <w:t xml:space="preserve">each </w:t>
      </w:r>
      <w:r>
        <w:t xml:space="preserve">dataset, </w:t>
      </w:r>
      <w:r w:rsidR="007438CB">
        <w:t xml:space="preserve">we </w:t>
      </w:r>
      <w:r w:rsidR="00C808DD">
        <w:t xml:space="preserve">counted the number of trademarks registered by year, </w:t>
      </w:r>
      <w:r w:rsidR="00576D3E">
        <w:t>checked the prevalence of ‘GOODS / SERVICES’ types</w:t>
      </w:r>
      <w:r w:rsidR="003C28D8">
        <w:t xml:space="preserve">, </w:t>
      </w:r>
      <w:r w:rsidR="00DC6D92">
        <w:t xml:space="preserve">and calculated the </w:t>
      </w:r>
      <w:r w:rsidR="001537E9">
        <w:t xml:space="preserve">proportion of </w:t>
      </w:r>
      <w:r w:rsidR="00A06C57">
        <w:t>applicants/right holder, color, product type and status.</w:t>
      </w:r>
      <w:r w:rsidR="00991A5B">
        <w:t xml:space="preserve"> We then compared the results of the two datasets to see whether any of the three companies </w:t>
      </w:r>
      <w:r w:rsidR="001301A9">
        <w:t>deviated</w:t>
      </w:r>
      <w:r w:rsidR="005F286E">
        <w:t xml:space="preserve"> from</w:t>
      </w:r>
      <w:r w:rsidR="00991A5B">
        <w:t xml:space="preserve"> the general trend. </w:t>
      </w:r>
    </w:p>
    <w:p w14:paraId="6606E6BF" w14:textId="57153E54" w:rsidR="00D307F6" w:rsidRDefault="00D307F6">
      <w:pPr>
        <w:rPr>
          <w:b/>
          <w:bCs/>
        </w:rPr>
      </w:pPr>
      <w:r>
        <w:rPr>
          <w:b/>
          <w:bCs/>
        </w:rPr>
        <w:t>III – Findings</w:t>
      </w:r>
    </w:p>
    <w:p w14:paraId="1A46A839" w14:textId="109B5D4B" w:rsidR="00E170C7" w:rsidRPr="00E43990" w:rsidRDefault="00E170C7" w:rsidP="00E170C7">
      <w:pPr>
        <w:ind w:firstLine="720"/>
        <w:rPr>
          <w:u w:val="single"/>
        </w:rPr>
      </w:pPr>
      <w:r w:rsidRPr="00E43990">
        <w:rPr>
          <w:u w:val="single"/>
        </w:rPr>
        <w:t xml:space="preserve">1. </w:t>
      </w:r>
      <w:r w:rsidR="00BB797C" w:rsidRPr="00E43990">
        <w:rPr>
          <w:u w:val="single"/>
        </w:rPr>
        <w:t>N</w:t>
      </w:r>
      <w:r w:rsidRPr="00E43990">
        <w:rPr>
          <w:u w:val="single"/>
        </w:rPr>
        <w:t xml:space="preserve">umber of trademarks </w:t>
      </w:r>
      <w:r w:rsidR="008A670E" w:rsidRPr="00E43990">
        <w:rPr>
          <w:u w:val="single"/>
        </w:rPr>
        <w:t xml:space="preserve">registered </w:t>
      </w:r>
      <w:r w:rsidR="00BB797C" w:rsidRPr="00E43990">
        <w:rPr>
          <w:u w:val="single"/>
        </w:rPr>
        <w:t>by year</w:t>
      </w:r>
    </w:p>
    <w:p w14:paraId="06277100" w14:textId="71107DF4" w:rsidR="008172D6" w:rsidRDefault="00594D25" w:rsidP="00653AC4">
      <w:pPr>
        <w:ind w:firstLine="720"/>
      </w:pPr>
      <w:r>
        <w:t xml:space="preserve">During the four-year period, </w:t>
      </w:r>
      <w:r w:rsidR="008008C7">
        <w:t xml:space="preserve">PMI and BAT trademarks accounted for </w:t>
      </w:r>
      <w:r w:rsidR="00A801FA">
        <w:t>a</w:t>
      </w:r>
      <w:r w:rsidR="00BC284E">
        <w:t xml:space="preserve"> </w:t>
      </w:r>
      <w:r w:rsidR="00BA088C">
        <w:t>notable</w:t>
      </w:r>
      <w:r w:rsidR="00665F0E">
        <w:t xml:space="preserve"> </w:t>
      </w:r>
      <w:r w:rsidR="00A322F1">
        <w:t xml:space="preserve">portion of </w:t>
      </w:r>
      <w:r w:rsidR="002458B0">
        <w:t>all entries</w:t>
      </w:r>
      <w:r w:rsidR="00AD14CB">
        <w:t xml:space="preserve"> (7.0% and 6.1% respectively)</w:t>
      </w:r>
      <w:r w:rsidR="00DA3969">
        <w:t xml:space="preserve"> (Table 2)</w:t>
      </w:r>
      <w:r w:rsidR="00AD14CB">
        <w:t xml:space="preserve">, </w:t>
      </w:r>
      <w:r w:rsidR="006D1DBE">
        <w:t xml:space="preserve">while JPI’s contribution </w:t>
      </w:r>
      <w:r w:rsidR="00724E3D">
        <w:t>was</w:t>
      </w:r>
      <w:r w:rsidR="006D1DBE">
        <w:t xml:space="preserve"> not</w:t>
      </w:r>
      <w:r w:rsidR="00BA088C">
        <w:t xml:space="preserve"> significant</w:t>
      </w:r>
      <w:r w:rsidR="00DA3969">
        <w:t xml:space="preserve"> (0.7%)</w:t>
      </w:r>
      <w:r w:rsidR="006D1DBE">
        <w:t xml:space="preserve"> </w:t>
      </w:r>
      <w:r w:rsidR="00DA3969">
        <w:t>(Table 2)</w:t>
      </w:r>
      <w:r w:rsidR="006D1DBE">
        <w:t>.</w:t>
      </w:r>
      <w:r w:rsidR="00F731DE">
        <w:t xml:space="preserve"> </w:t>
      </w:r>
    </w:p>
    <w:p w14:paraId="574006D7" w14:textId="13CC429C" w:rsidR="00594D25" w:rsidRDefault="00DA3969" w:rsidP="00E170C7">
      <w:pPr>
        <w:ind w:firstLine="720"/>
      </w:pPr>
      <w:r>
        <w:t xml:space="preserve">PMI and BAT </w:t>
      </w:r>
      <w:r w:rsidR="00B42911">
        <w:t xml:space="preserve">have proved their ability </w:t>
      </w:r>
      <w:r w:rsidR="002D51EE">
        <w:t xml:space="preserve">to </w:t>
      </w:r>
      <w:r w:rsidR="005B0DC5">
        <w:t xml:space="preserve">quickly </w:t>
      </w:r>
      <w:r w:rsidR="005F0416">
        <w:t>flood the Vietnamese market with new brands</w:t>
      </w:r>
      <w:r w:rsidR="008172D6">
        <w:t xml:space="preserve">. Specifically, in </w:t>
      </w:r>
      <w:r>
        <w:t xml:space="preserve">2015, BAT registered 45 trademarks, accounting for 20.0% of all trademarks registered that year (Table 2). Similarly, in </w:t>
      </w:r>
      <w:r w:rsidR="008172D6">
        <w:t xml:space="preserve">2016, PMI registered </w:t>
      </w:r>
      <w:r w:rsidR="00B416D4">
        <w:t xml:space="preserve">53 trademarks, accounting for 23.5% </w:t>
      </w:r>
      <w:r w:rsidR="00B660A7">
        <w:t>of all registered trademarks</w:t>
      </w:r>
      <w:r>
        <w:t xml:space="preserve"> (Table 2)</w:t>
      </w:r>
      <w:r w:rsidR="00B660A7">
        <w:t xml:space="preserve">. </w:t>
      </w:r>
      <w:r w:rsidR="00DF462F">
        <w:t>With low rejection rates</w:t>
      </w:r>
      <w:r>
        <w:t xml:space="preserve"> </w:t>
      </w:r>
      <w:r w:rsidR="00DF462F">
        <w:t>(</w:t>
      </w:r>
      <w:r>
        <w:t>only 4 PMI trademarks (7.5%) and 13 BAT trademarks (28%) were rejected</w:t>
      </w:r>
      <w:r w:rsidR="00DF462F">
        <w:t xml:space="preserve"> in these instances), a significant number of new PMI or BAT entered Vietnam </w:t>
      </w:r>
      <w:r w:rsidR="00A478A1">
        <w:t>in</w:t>
      </w:r>
      <w:r w:rsidR="00DF462F">
        <w:t xml:space="preserve"> </w:t>
      </w:r>
      <w:r w:rsidR="00A478A1">
        <w:t xml:space="preserve">just </w:t>
      </w:r>
      <w:r w:rsidR="00DF462F">
        <w:t>a short year.</w:t>
      </w:r>
    </w:p>
    <w:p w14:paraId="0F521D5F" w14:textId="0F067C4B" w:rsidR="00D04B3B" w:rsidRDefault="002F4917" w:rsidP="00DA3969">
      <w:pPr>
        <w:ind w:firstLine="720"/>
      </w:pPr>
      <w:r>
        <w:t>Trend-wise</w:t>
      </w:r>
      <w:r w:rsidR="00BD3E28">
        <w:t xml:space="preserve">, </w:t>
      </w:r>
      <w:r w:rsidR="00B660A7">
        <w:t xml:space="preserve">while the </w:t>
      </w:r>
      <w:r w:rsidR="00067F58">
        <w:t xml:space="preserve">total number of </w:t>
      </w:r>
      <w:r w:rsidR="000A26C2">
        <w:t>registered tobacco-related trademarks increased continuously from 2015 to 2018</w:t>
      </w:r>
      <w:r w:rsidR="00B660A7">
        <w:t>, the number of trademarks from our three companies either decrease</w:t>
      </w:r>
      <w:r w:rsidR="00CA21BB">
        <w:t>d or stabilized</w:t>
      </w:r>
      <w:r w:rsidR="00B660A7">
        <w:t>.</w:t>
      </w:r>
      <w:r w:rsidR="00530AAD">
        <w:t xml:space="preserve"> Specifically, the number of BAT trademarks drastically </w:t>
      </w:r>
      <w:r w:rsidR="00402D5E">
        <w:t xml:space="preserve">decreased after 2015, </w:t>
      </w:r>
      <w:r w:rsidR="0090732F">
        <w:t xml:space="preserve">leveling off at around 10 during the next three years. </w:t>
      </w:r>
      <w:r w:rsidR="008D2B14">
        <w:t xml:space="preserve">Similarly, after the spike in 2016, the number of </w:t>
      </w:r>
      <w:r w:rsidR="00002D4D">
        <w:t xml:space="preserve">PMI trademarks steadily decreased, reaching a bottom of 12 in 2018. </w:t>
      </w:r>
      <w:r w:rsidR="00D62561">
        <w:t>On the other hand, the number of JPI trademarks were stable at around 2 – 3 during the four years.</w:t>
      </w:r>
    </w:p>
    <w:p w14:paraId="0FE06C2E" w14:textId="457E1AB5" w:rsidR="00F952E4" w:rsidRDefault="00402D5E" w:rsidP="006806A4">
      <w:pPr>
        <w:ind w:firstLine="720"/>
      </w:pPr>
      <w:r>
        <w:t xml:space="preserve">PMI was the only company of the three to have registered a </w:t>
      </w:r>
      <w:r w:rsidR="00730E92">
        <w:t xml:space="preserve">trademark in 2019. </w:t>
      </w:r>
    </w:p>
    <w:p w14:paraId="23B0485C" w14:textId="0BF08536" w:rsidR="00E170C7" w:rsidRPr="0095088F" w:rsidRDefault="00E170C7" w:rsidP="00E170C7">
      <w:pPr>
        <w:ind w:firstLine="720"/>
        <w:rPr>
          <w:u w:val="single"/>
        </w:rPr>
      </w:pPr>
      <w:r w:rsidRPr="0095088F">
        <w:rPr>
          <w:u w:val="single"/>
        </w:rPr>
        <w:t>2.</w:t>
      </w:r>
      <w:r w:rsidR="00675DCB" w:rsidRPr="0095088F">
        <w:rPr>
          <w:u w:val="single"/>
        </w:rPr>
        <w:t xml:space="preserve"> T</w:t>
      </w:r>
      <w:r w:rsidRPr="0095088F">
        <w:rPr>
          <w:u w:val="single"/>
        </w:rPr>
        <w:t>rend</w:t>
      </w:r>
      <w:r w:rsidR="00287C51" w:rsidRPr="0095088F">
        <w:rPr>
          <w:u w:val="single"/>
        </w:rPr>
        <w:t>s</w:t>
      </w:r>
      <w:r w:rsidRPr="0095088F">
        <w:rPr>
          <w:u w:val="single"/>
        </w:rPr>
        <w:t xml:space="preserve"> in the number of submitted trademarks from each company</w:t>
      </w:r>
      <w:r w:rsidR="00CE138E" w:rsidRPr="0095088F">
        <w:rPr>
          <w:u w:val="single"/>
        </w:rPr>
        <w:t xml:space="preserve"> by month</w:t>
      </w:r>
    </w:p>
    <w:p w14:paraId="75F85DBD" w14:textId="641575F8" w:rsidR="00E01158" w:rsidRDefault="008F0507" w:rsidP="00732767">
      <w:pPr>
        <w:ind w:firstLine="720"/>
      </w:pPr>
      <w:r>
        <w:t>Most of the time, the number of registered trademarks from each of the three company did not exceed 5 per month</w:t>
      </w:r>
      <w:r w:rsidR="00FD2960">
        <w:t xml:space="preserve">, which was not enough to skew the </w:t>
      </w:r>
      <w:r w:rsidR="007C4809">
        <w:t>total</w:t>
      </w:r>
      <w:r w:rsidR="00796B2F">
        <w:t xml:space="preserve"> monthly</w:t>
      </w:r>
      <w:r w:rsidR="007C4809">
        <w:t xml:space="preserve"> </w:t>
      </w:r>
      <w:r w:rsidR="007C4809">
        <w:lastRenderedPageBreak/>
        <w:t>trademark</w:t>
      </w:r>
      <w:r w:rsidR="00796B2F">
        <w:t xml:space="preserve"> count</w:t>
      </w:r>
      <w:r w:rsidR="007C4809">
        <w:t xml:space="preserve">. </w:t>
      </w:r>
      <w:r w:rsidR="00DB742A">
        <w:t>An obvious exception</w:t>
      </w:r>
      <w:r w:rsidR="00F145B6">
        <w:t xml:space="preserve"> to this rule </w:t>
      </w:r>
      <w:r w:rsidR="00DB742A">
        <w:t>w</w:t>
      </w:r>
      <w:r w:rsidR="00EE562B">
        <w:t xml:space="preserve">as </w:t>
      </w:r>
      <w:r w:rsidR="007B4088">
        <w:t>February 2016</w:t>
      </w:r>
      <w:r w:rsidR="00EE562B">
        <w:t xml:space="preserve"> when PMI entries </w:t>
      </w:r>
      <w:r w:rsidR="00C4256C">
        <w:t xml:space="preserve">significantly </w:t>
      </w:r>
      <w:r w:rsidR="00B31C53">
        <w:t xml:space="preserve">increased the total </w:t>
      </w:r>
      <w:r w:rsidR="00E14166">
        <w:t>count</w:t>
      </w:r>
      <w:r w:rsidR="00B31C53">
        <w:t xml:space="preserve"> that month </w:t>
      </w:r>
      <w:r w:rsidR="00AF51FA">
        <w:t>(Figure 2)</w:t>
      </w:r>
      <w:r w:rsidR="007B4088">
        <w:t xml:space="preserve">. </w:t>
      </w:r>
      <w:r w:rsidR="00A44CCF">
        <w:t xml:space="preserve">Specifically, </w:t>
      </w:r>
      <w:r w:rsidR="00100CF1">
        <w:t xml:space="preserve">there were </w:t>
      </w:r>
      <w:r w:rsidR="00A44CCF">
        <w:t xml:space="preserve">34 </w:t>
      </w:r>
      <w:r w:rsidR="00100CF1">
        <w:t xml:space="preserve">PMI trademarks out </w:t>
      </w:r>
      <w:r w:rsidR="00DB742A">
        <w:t>of the 54 registered</w:t>
      </w:r>
      <w:r w:rsidR="00717F46">
        <w:t xml:space="preserve"> (62.9%)</w:t>
      </w:r>
      <w:r w:rsidR="00A44CCF">
        <w:t>, all of which dated 26/2/2016</w:t>
      </w:r>
      <w:r w:rsidR="007728F6">
        <w:t xml:space="preserve"> (Figure 3)</w:t>
      </w:r>
      <w:r w:rsidR="004C29D7">
        <w:t>.</w:t>
      </w:r>
    </w:p>
    <w:p w14:paraId="5ADE6C84" w14:textId="538DE844" w:rsidR="00287C51" w:rsidRDefault="007B4088" w:rsidP="00132B9E">
      <w:pPr>
        <w:ind w:firstLine="720"/>
      </w:pPr>
      <w:r>
        <w:t xml:space="preserve">In addition, </w:t>
      </w:r>
      <w:r w:rsidR="001218C3">
        <w:t>PMI tended to register more than one trademark in a month</w:t>
      </w:r>
      <w:r w:rsidR="00E8150C">
        <w:t xml:space="preserve">. Specifically, there were PMI </w:t>
      </w:r>
      <w:r w:rsidR="00EB53CC">
        <w:t>registered trademarks in</w:t>
      </w:r>
      <w:r w:rsidR="00E8150C">
        <w:t xml:space="preserve"> 22 months during the 1/1/2015 – 30/6/2019 period, only 3 of which (13.6%) saw one single entry</w:t>
      </w:r>
      <w:r w:rsidR="00EB53CC">
        <w:t xml:space="preserve"> (Figure 3)</w:t>
      </w:r>
      <w:r w:rsidR="00E8150C">
        <w:t>.</w:t>
      </w:r>
      <w:r w:rsidR="00ED0FF4">
        <w:t xml:space="preserve"> On the other hand, BAT w</w:t>
      </w:r>
      <w:r w:rsidR="00752E71">
        <w:t>as</w:t>
      </w:r>
      <w:r w:rsidR="00ED0FF4">
        <w:t xml:space="preserve"> </w:t>
      </w:r>
      <w:r w:rsidR="00752E71">
        <w:t>as</w:t>
      </w:r>
      <w:r w:rsidR="00ED0FF4">
        <w:t xml:space="preserve"> likely to file one entry </w:t>
      </w:r>
      <w:r w:rsidR="00752E71">
        <w:t>as</w:t>
      </w:r>
      <w:r w:rsidR="00ED0FF4">
        <w:t xml:space="preserve"> more than one</w:t>
      </w:r>
      <w:r w:rsidR="00752E71">
        <w:t xml:space="preserve"> in a month</w:t>
      </w:r>
      <w:r w:rsidR="00ED0FF4">
        <w:t xml:space="preserve">. </w:t>
      </w:r>
      <w:r w:rsidR="00752E71">
        <w:t>In particular, they registered trademarks in</w:t>
      </w:r>
      <w:r w:rsidR="00ED0FF4">
        <w:t xml:space="preserve"> 24 months</w:t>
      </w:r>
      <w:r w:rsidR="00752E71">
        <w:t xml:space="preserve"> from 1/1/2015 to 30/6/2019, </w:t>
      </w:r>
      <w:r w:rsidR="00ED0FF4">
        <w:t>12</w:t>
      </w:r>
      <w:r w:rsidR="00752E71">
        <w:t xml:space="preserve"> of which </w:t>
      </w:r>
      <w:r w:rsidR="0039009C">
        <w:t xml:space="preserve">(50%) </w:t>
      </w:r>
      <w:r w:rsidR="00752E71">
        <w:t>saw one single entry</w:t>
      </w:r>
      <w:r w:rsidR="00C22447">
        <w:t xml:space="preserve"> (Figure 3).</w:t>
      </w:r>
    </w:p>
    <w:p w14:paraId="061462CE" w14:textId="3F90D42F" w:rsidR="000B13D5" w:rsidRPr="00463F77" w:rsidRDefault="000B13D5" w:rsidP="000B13D5">
      <w:pPr>
        <w:ind w:firstLine="720"/>
        <w:rPr>
          <w:u w:val="single"/>
        </w:rPr>
      </w:pPr>
      <w:r w:rsidRPr="00463F77">
        <w:rPr>
          <w:u w:val="single"/>
        </w:rPr>
        <w:t xml:space="preserve">3. </w:t>
      </w:r>
      <w:r w:rsidR="00734B2F" w:rsidRPr="00463F77">
        <w:rPr>
          <w:u w:val="single"/>
        </w:rPr>
        <w:t>Branch demographic</w:t>
      </w:r>
    </w:p>
    <w:p w14:paraId="5065005A" w14:textId="5C28A653" w:rsidR="00EF0C2C" w:rsidRDefault="00EF0C2C" w:rsidP="000B13D5">
      <w:pPr>
        <w:ind w:firstLine="720"/>
      </w:pPr>
      <w:r>
        <w:t xml:space="preserve">PMI and BAT each had four branches </w:t>
      </w:r>
      <w:r w:rsidR="009708AB">
        <w:t>registering their trademarks in Vietnam, while JTI only had one branch</w:t>
      </w:r>
      <w:r w:rsidR="002A4548">
        <w:t xml:space="preserve"> (</w:t>
      </w:r>
      <w:r w:rsidR="009E5706">
        <w:t>Table</w:t>
      </w:r>
      <w:r w:rsidR="002A4548">
        <w:t xml:space="preserve"> 3)</w:t>
      </w:r>
      <w:r w:rsidR="00AD79A1">
        <w:t xml:space="preserve">. </w:t>
      </w:r>
    </w:p>
    <w:p w14:paraId="539C277E" w14:textId="6811B9AB" w:rsidR="00AD79A1" w:rsidRDefault="00F46738" w:rsidP="000B13D5">
      <w:pPr>
        <w:ind w:firstLine="720"/>
      </w:pPr>
      <w:r>
        <w:t xml:space="preserve">Venture businesses tended to register fewer trademarks than </w:t>
      </w:r>
      <w:r w:rsidR="00611C27">
        <w:t>company-owned branches</w:t>
      </w:r>
      <w:r w:rsidR="0001088F">
        <w:t xml:space="preserve">. </w:t>
      </w:r>
      <w:r w:rsidR="00A21EC2">
        <w:t xml:space="preserve">For example, </w:t>
      </w:r>
      <w:r w:rsidR="00DA2238">
        <w:t>Vinataba – Philip Morris Co. Ltd</w:t>
      </w:r>
      <w:r w:rsidR="00533C78">
        <w:t xml:space="preserve">, </w:t>
      </w:r>
      <w:r w:rsidR="007C23BB">
        <w:t>the only PMI-related venture business in our dataset,</w:t>
      </w:r>
      <w:r w:rsidR="00DA2238">
        <w:t xml:space="preserve"> only registered 3 trademarks </w:t>
      </w:r>
      <w:r w:rsidR="004037F0">
        <w:t xml:space="preserve">(3.3% of all </w:t>
      </w:r>
      <w:r w:rsidR="003C64FF">
        <w:t>registered</w:t>
      </w:r>
      <w:r w:rsidR="00E35D55">
        <w:t xml:space="preserve"> </w:t>
      </w:r>
      <w:r w:rsidR="004037F0">
        <w:t>PMI trademarks)</w:t>
      </w:r>
      <w:r w:rsidR="00533C78">
        <w:t>, much fewer than Philip Morris Brands Sàrl or Philip Morris Products S.A</w:t>
      </w:r>
      <w:r w:rsidR="002876F7">
        <w:t xml:space="preserve"> (Table 3)</w:t>
      </w:r>
      <w:r w:rsidR="00533C78">
        <w:t xml:space="preserve">. </w:t>
      </w:r>
      <w:r w:rsidR="002D6B0D">
        <w:t xml:space="preserve">Similarly, </w:t>
      </w:r>
      <w:r w:rsidR="007C23BB">
        <w:t>CTBAT International Co. Limited</w:t>
      </w:r>
      <w:r w:rsidR="002D6B0D">
        <w:t xml:space="preserve">, the only BAT-related venture business in our dataset, </w:t>
      </w:r>
      <w:r w:rsidR="00B03208">
        <w:t>registered 19 trademarks (24% of all</w:t>
      </w:r>
      <w:r w:rsidR="003C64FF">
        <w:t xml:space="preserve"> registered BAT</w:t>
      </w:r>
      <w:r w:rsidR="00B03208">
        <w:t xml:space="preserve"> trademarks)</w:t>
      </w:r>
      <w:r w:rsidR="00E35D55">
        <w:t xml:space="preserve">, much fewer than British American Tobacco (Brands) Inc. </w:t>
      </w:r>
      <w:r w:rsidR="002876F7">
        <w:t>or</w:t>
      </w:r>
      <w:r w:rsidR="00E35D55">
        <w:t xml:space="preserve"> British American Tobacco (Brands) Limited</w:t>
      </w:r>
      <w:r w:rsidR="002876F7">
        <w:t xml:space="preserve"> (Table 3).</w:t>
      </w:r>
    </w:p>
    <w:p w14:paraId="3CD4A6FF" w14:textId="560B6DC7" w:rsidR="00E170C7" w:rsidRPr="003810EB" w:rsidRDefault="000B13D5" w:rsidP="00E170C7">
      <w:pPr>
        <w:ind w:firstLine="720"/>
        <w:rPr>
          <w:u w:val="single"/>
        </w:rPr>
      </w:pPr>
      <w:r w:rsidRPr="003810EB">
        <w:rPr>
          <w:u w:val="single"/>
        </w:rPr>
        <w:t>4</w:t>
      </w:r>
      <w:r w:rsidR="00E170C7" w:rsidRPr="003810EB">
        <w:rPr>
          <w:u w:val="single"/>
        </w:rPr>
        <w:t xml:space="preserve">. </w:t>
      </w:r>
      <w:r w:rsidR="00951C42" w:rsidRPr="003810EB">
        <w:rPr>
          <w:u w:val="single"/>
        </w:rPr>
        <w:t>Trademark color distribution</w:t>
      </w:r>
    </w:p>
    <w:p w14:paraId="0F7F4F53" w14:textId="662CFA0F" w:rsidR="00E4386C" w:rsidRDefault="00E4386C" w:rsidP="00E170C7">
      <w:pPr>
        <w:ind w:firstLine="720"/>
      </w:pPr>
      <w:r>
        <w:t>Overall,</w:t>
      </w:r>
      <w:r w:rsidR="00312FFF">
        <w:t xml:space="preserve"> the</w:t>
      </w:r>
      <w:r>
        <w:t xml:space="preserve"> color 0 is </w:t>
      </w:r>
      <w:r w:rsidR="00D550D7">
        <w:t>more likely to be chosen over 1 by 1.5 – 3 times (</w:t>
      </w:r>
      <w:r w:rsidR="00014465">
        <w:t>Table 4).</w:t>
      </w:r>
    </w:p>
    <w:p w14:paraId="4517599B" w14:textId="7BE3D85F" w:rsidR="00E170C7" w:rsidRPr="003810EB" w:rsidRDefault="000B13D5" w:rsidP="00E170C7">
      <w:pPr>
        <w:ind w:firstLine="720"/>
        <w:rPr>
          <w:u w:val="single"/>
        </w:rPr>
      </w:pPr>
      <w:r w:rsidRPr="003810EB">
        <w:rPr>
          <w:u w:val="single"/>
        </w:rPr>
        <w:t>5</w:t>
      </w:r>
      <w:r w:rsidR="00E170C7" w:rsidRPr="003810EB">
        <w:rPr>
          <w:u w:val="single"/>
        </w:rPr>
        <w:t xml:space="preserve">. </w:t>
      </w:r>
      <w:r w:rsidR="001F1DF9" w:rsidRPr="003810EB">
        <w:rPr>
          <w:u w:val="single"/>
        </w:rPr>
        <w:t>Product type proportion</w:t>
      </w:r>
    </w:p>
    <w:p w14:paraId="6EF0BA1B" w14:textId="46FAFC71" w:rsidR="001A458D" w:rsidRDefault="00B63BC6" w:rsidP="00E170C7">
      <w:pPr>
        <w:ind w:firstLine="720"/>
      </w:pPr>
      <w:r>
        <w:t xml:space="preserve">Overall, </w:t>
      </w:r>
      <w:r w:rsidR="00085DD0">
        <w:t xml:space="preserve">traditional </w:t>
      </w:r>
      <w:r>
        <w:t>cigarettes</w:t>
      </w:r>
      <w:r w:rsidR="000F4601">
        <w:t xml:space="preserve"> still account for </w:t>
      </w:r>
      <w:r w:rsidR="007407EE">
        <w:t xml:space="preserve">a great majority of all registered trademarks (Table 5). </w:t>
      </w:r>
      <w:r w:rsidR="00901BBC">
        <w:t>In fact, all JTI trademarks in Vietnam are cigarettes</w:t>
      </w:r>
      <w:r w:rsidR="00900613">
        <w:t xml:space="preserve"> (Table 5)</w:t>
      </w:r>
      <w:r w:rsidR="00901BBC">
        <w:t>.</w:t>
      </w:r>
    </w:p>
    <w:p w14:paraId="4E987255" w14:textId="25DCD3CA" w:rsidR="00E537D5" w:rsidRDefault="00054EE2" w:rsidP="00E170C7">
      <w:pPr>
        <w:ind w:firstLine="720"/>
      </w:pPr>
      <w:r>
        <w:t xml:space="preserve">BAT introduced </w:t>
      </w:r>
      <w:r w:rsidR="00AE0521">
        <w:t>one heated tobacco p</w:t>
      </w:r>
      <w:r>
        <w:t>roduct, Neostiks</w:t>
      </w:r>
      <w:r w:rsidR="00AE0521">
        <w:t>, in 2016. This tradema</w:t>
      </w:r>
      <w:r w:rsidR="00567C47">
        <w:t xml:space="preserve">rk </w:t>
      </w:r>
      <w:r w:rsidR="00960151">
        <w:t>was approved</w:t>
      </w:r>
      <w:r w:rsidR="003C51AD">
        <w:t xml:space="preserve"> </w:t>
      </w:r>
      <w:r w:rsidR="00960151">
        <w:t xml:space="preserve">and remained the company’s only non-traditional-cigarette </w:t>
      </w:r>
      <w:r w:rsidR="00EF1644">
        <w:t>product in Vietnam as of 30/6/2019</w:t>
      </w:r>
      <w:r w:rsidR="003C51AD">
        <w:t>.</w:t>
      </w:r>
      <w:r w:rsidR="00DC3051">
        <w:t xml:space="preserve"> Information </w:t>
      </w:r>
      <w:r w:rsidR="00AC524A">
        <w:t xml:space="preserve">on this trademark is </w:t>
      </w:r>
      <w:r w:rsidR="003D7C65">
        <w:t>detailed in the accompanying Excel file.</w:t>
      </w:r>
    </w:p>
    <w:p w14:paraId="4E19830B" w14:textId="74F4523F" w:rsidR="00404939" w:rsidRDefault="002F6DA5" w:rsidP="00463F77">
      <w:pPr>
        <w:ind w:firstLine="720"/>
      </w:pPr>
      <w:r>
        <w:lastRenderedPageBreak/>
        <w:t>PMI</w:t>
      </w:r>
      <w:r w:rsidR="00D8451F">
        <w:t xml:space="preserve"> introduced the most non-traditional-cigarette trademarks</w:t>
      </w:r>
      <w:r w:rsidR="00D27733">
        <w:t>, including</w:t>
      </w:r>
      <w:r w:rsidR="00B4387B">
        <w:t xml:space="preserve"> both</w:t>
      </w:r>
      <w:r w:rsidR="00D27733">
        <w:t xml:space="preserve"> heated tobacco products</w:t>
      </w:r>
      <w:r w:rsidR="001D2610">
        <w:t xml:space="preserve"> (6.7%)</w:t>
      </w:r>
      <w:r w:rsidR="00D27733">
        <w:t xml:space="preserve"> and e-cigarettes</w:t>
      </w:r>
      <w:r w:rsidR="001D2610">
        <w:t xml:space="preserve"> (2.2%)</w:t>
      </w:r>
      <w:r w:rsidR="000E4B21">
        <w:t xml:space="preserve"> (Table 5)</w:t>
      </w:r>
      <w:r w:rsidR="00D27733">
        <w:t>.</w:t>
      </w:r>
      <w:r w:rsidR="007027F5">
        <w:t xml:space="preserve"> All 6 of their heated tobacco products</w:t>
      </w:r>
      <w:r w:rsidR="00965F45">
        <w:t xml:space="preserve"> (HTS)</w:t>
      </w:r>
      <w:r w:rsidR="007027F5">
        <w:t xml:space="preserve"> were registered in 2016 and 2017, while both of their e-cigarette</w:t>
      </w:r>
      <w:r w:rsidR="00965F45">
        <w:t xml:space="preserve"> (ENDS)</w:t>
      </w:r>
      <w:r w:rsidR="007027F5">
        <w:t xml:space="preserve"> products were registered in </w:t>
      </w:r>
      <w:r w:rsidR="00791AFF">
        <w:t xml:space="preserve">January </w:t>
      </w:r>
      <w:r w:rsidR="007027F5">
        <w:t xml:space="preserve">2018. </w:t>
      </w:r>
      <w:r w:rsidR="0012257B">
        <w:t xml:space="preserve">As of 30/6/2019, </w:t>
      </w:r>
      <w:r w:rsidR="00965F45">
        <w:t>2 HTS</w:t>
      </w:r>
      <w:r w:rsidR="00803A42">
        <w:t xml:space="preserve"> have been approved, and</w:t>
      </w:r>
      <w:r w:rsidR="00965F45">
        <w:t xml:space="preserve"> none </w:t>
      </w:r>
      <w:r w:rsidR="00803A42">
        <w:t>of these non-traditional trademarks have been denied</w:t>
      </w:r>
      <w:r w:rsidR="009C0DF5">
        <w:t>. Information on these trademarks are detailed in the accompanying Excel file.</w:t>
      </w:r>
    </w:p>
    <w:p w14:paraId="2BD56866" w14:textId="49E47F79" w:rsidR="00E170C7" w:rsidRPr="00B7160E" w:rsidRDefault="000B13D5" w:rsidP="00E170C7">
      <w:pPr>
        <w:ind w:firstLine="720"/>
        <w:rPr>
          <w:u w:val="single"/>
        </w:rPr>
      </w:pPr>
      <w:r w:rsidRPr="00B7160E">
        <w:rPr>
          <w:u w:val="single"/>
        </w:rPr>
        <w:t>6</w:t>
      </w:r>
      <w:r w:rsidR="00E170C7" w:rsidRPr="00B7160E">
        <w:rPr>
          <w:u w:val="single"/>
        </w:rPr>
        <w:t xml:space="preserve">. </w:t>
      </w:r>
      <w:r w:rsidR="00404939" w:rsidRPr="00B7160E">
        <w:rPr>
          <w:u w:val="single"/>
        </w:rPr>
        <w:t>Trademark status</w:t>
      </w:r>
      <w:r w:rsidR="00E170C7" w:rsidRPr="00B7160E">
        <w:rPr>
          <w:u w:val="single"/>
        </w:rPr>
        <w:t xml:space="preserve"> from each company</w:t>
      </w:r>
    </w:p>
    <w:p w14:paraId="5DFB2D55" w14:textId="11987C64" w:rsidR="000935B1" w:rsidRDefault="001E77D3" w:rsidP="00E170C7">
      <w:pPr>
        <w:ind w:firstLine="720"/>
      </w:pPr>
      <w:r>
        <w:t xml:space="preserve">For all three companies, </w:t>
      </w:r>
      <w:r w:rsidR="005D759C">
        <w:t xml:space="preserve">the number of </w:t>
      </w:r>
      <w:r w:rsidR="0074151C">
        <w:t>approved trademarks outweighed the number of disapproved ones (</w:t>
      </w:r>
      <w:r w:rsidR="0043728F">
        <w:t xml:space="preserve">Table </w:t>
      </w:r>
      <w:r w:rsidR="00305F75">
        <w:t>6</w:t>
      </w:r>
      <w:r w:rsidR="0043728F">
        <w:t>).</w:t>
      </w:r>
    </w:p>
    <w:p w14:paraId="13C8DD56" w14:textId="17622AA5" w:rsidR="00B92801" w:rsidRPr="00461DC4" w:rsidRDefault="00B92801" w:rsidP="00461DC4">
      <w:pPr>
        <w:ind w:firstLine="720"/>
      </w:pPr>
      <w:r>
        <w:t>The longest-pending trademark</w:t>
      </w:r>
      <w:r w:rsidR="00EB6FCD">
        <w:t xml:space="preserve">, </w:t>
      </w:r>
      <w:r>
        <w:t>owned by PMI</w:t>
      </w:r>
      <w:r w:rsidR="00EB6FCD">
        <w:t>, dates back to 2015 (Table 7).</w:t>
      </w:r>
      <w:r w:rsidR="00691229">
        <w:t xml:space="preserve"> </w:t>
      </w:r>
      <w:r w:rsidR="00337F2F">
        <w:t>Most trademarks registered in 2017, and a</w:t>
      </w:r>
      <w:r w:rsidR="00691229">
        <w:t xml:space="preserve">ll trademarks </w:t>
      </w:r>
      <w:r w:rsidR="00337F2F">
        <w:t xml:space="preserve">registered </w:t>
      </w:r>
      <w:r w:rsidR="00691229">
        <w:t>in 2018 and 2019 are pending</w:t>
      </w:r>
      <w:r w:rsidR="00F16847">
        <w:t xml:space="preserve"> (Table 7)</w:t>
      </w:r>
      <w:r w:rsidR="00545F17">
        <w:t xml:space="preserve">. </w:t>
      </w:r>
    </w:p>
    <w:p w14:paraId="2F864CEF" w14:textId="27445F40" w:rsidR="000210A6" w:rsidRDefault="00D307F6">
      <w:pPr>
        <w:rPr>
          <w:b/>
          <w:bCs/>
        </w:rPr>
      </w:pPr>
      <w:r>
        <w:rPr>
          <w:b/>
          <w:bCs/>
        </w:rPr>
        <w:t>IV – Conclusion and Recommendations</w:t>
      </w:r>
    </w:p>
    <w:p w14:paraId="5061016F" w14:textId="275102D9" w:rsidR="00197E07" w:rsidRDefault="00C076B2" w:rsidP="001C3FB1">
      <w:pPr>
        <w:ind w:firstLine="720"/>
      </w:pPr>
      <w:r>
        <w:t xml:space="preserve">The increase in </w:t>
      </w:r>
      <w:r w:rsidR="00197E07" w:rsidRPr="00197E07">
        <w:t>the total number of registered trademarks</w:t>
      </w:r>
      <w:r>
        <w:t xml:space="preserve"> from 2015 to 2019</w:t>
      </w:r>
      <w:r w:rsidR="00197E07" w:rsidRPr="00197E07">
        <w:t xml:space="preserve"> shows that </w:t>
      </w:r>
      <w:r w:rsidR="00404555">
        <w:t>more</w:t>
      </w:r>
      <w:r w:rsidR="00197E07" w:rsidRPr="00197E07">
        <w:t xml:space="preserve"> tobacco companies are taking an increased interest in the Vietnamese market.</w:t>
      </w:r>
      <w:r w:rsidR="001C3FB1">
        <w:t xml:space="preserve"> However, to determine whether </w:t>
      </w:r>
      <w:r w:rsidR="001C3FB1" w:rsidRPr="00197E07">
        <w:t xml:space="preserve">an increase in number of trademarks </w:t>
      </w:r>
      <w:r w:rsidR="00B52A8E">
        <w:t>is</w:t>
      </w:r>
      <w:r w:rsidR="001C3FB1" w:rsidRPr="00197E07">
        <w:t xml:space="preserve"> </w:t>
      </w:r>
      <w:r w:rsidR="00B52A8E">
        <w:t>associated with</w:t>
      </w:r>
      <w:r w:rsidR="001C3FB1" w:rsidRPr="00197E07">
        <w:t xml:space="preserve"> an increase in demand and consumption</w:t>
      </w:r>
      <w:r w:rsidR="001C3FB1">
        <w:t>, we n</w:t>
      </w:r>
      <w:r w:rsidR="00197E07" w:rsidRPr="00197E07">
        <w:t xml:space="preserve">eed </w:t>
      </w:r>
      <w:r w:rsidR="001C3FB1">
        <w:t>to collect more information</w:t>
      </w:r>
      <w:r w:rsidR="00197E07" w:rsidRPr="00197E07">
        <w:t xml:space="preserve"> on </w:t>
      </w:r>
      <w:r w:rsidR="00EA66AB">
        <w:t>each trademark’s sale</w:t>
      </w:r>
      <w:r w:rsidR="006F07C3">
        <w:t xml:space="preserve">s volume, both </w:t>
      </w:r>
      <w:r w:rsidR="0088347B">
        <w:t xml:space="preserve">through </w:t>
      </w:r>
      <w:r w:rsidR="00DD7900">
        <w:t>mainstream and contraband sources.</w:t>
      </w:r>
      <w:r w:rsidR="00197E07" w:rsidRPr="00197E07">
        <w:t xml:space="preserve"> </w:t>
      </w:r>
    </w:p>
    <w:p w14:paraId="4DA1C5D9" w14:textId="70B38C35" w:rsidR="001E25BF" w:rsidRDefault="00404555" w:rsidP="00177714">
      <w:pPr>
        <w:ind w:firstLine="720"/>
      </w:pPr>
      <w:r>
        <w:t>Regarding</w:t>
      </w:r>
      <w:r w:rsidR="00D97964">
        <w:t xml:space="preserve"> </w:t>
      </w:r>
      <w:r w:rsidR="00904F8C">
        <w:t>the decrease</w:t>
      </w:r>
      <w:r w:rsidR="00DF7511">
        <w:t xml:space="preserve"> </w:t>
      </w:r>
      <w:r w:rsidR="00381AA4">
        <w:t xml:space="preserve">in the number of BAT and PMI trademarks, </w:t>
      </w:r>
      <w:r w:rsidR="000110E9">
        <w:t xml:space="preserve">we need more information on </w:t>
      </w:r>
      <w:r w:rsidR="00646D42">
        <w:t xml:space="preserve">the sales volume of their existing brands in Vietnam to determine whether this decrease is due to </w:t>
      </w:r>
      <w:r w:rsidR="00701FBA">
        <w:t xml:space="preserve">reduced interest in the Vietnamese market or </w:t>
      </w:r>
      <w:r w:rsidR="00FF1BC7">
        <w:t xml:space="preserve">the </w:t>
      </w:r>
      <w:r w:rsidR="00BA73A6">
        <w:t>increasing</w:t>
      </w:r>
      <w:r w:rsidR="00177714">
        <w:t xml:space="preserve"> profitability of current products. </w:t>
      </w:r>
    </w:p>
    <w:p w14:paraId="3316B6E7" w14:textId="4FBD001C" w:rsidR="00BE138E" w:rsidRPr="00197E07" w:rsidRDefault="0039094D" w:rsidP="00177714">
      <w:pPr>
        <w:ind w:firstLine="720"/>
      </w:pPr>
      <w:r>
        <w:t xml:space="preserve">The prevalence of approved trademarks over </w:t>
      </w:r>
      <w:r w:rsidR="00563F8F">
        <w:t>denied ones show</w:t>
      </w:r>
      <w:r w:rsidR="003F5CBD">
        <w:t xml:space="preserve">s that the Vietnamese </w:t>
      </w:r>
      <w:r w:rsidR="00E7320C">
        <w:t xml:space="preserve">government </w:t>
      </w:r>
      <w:r w:rsidR="00EC63B7">
        <w:t>may</w:t>
      </w:r>
      <w:r w:rsidR="00B67B46">
        <w:t xml:space="preserve"> further</w:t>
      </w:r>
      <w:r w:rsidR="00EC63B7">
        <w:t xml:space="preserve"> reduce smoking rate by </w:t>
      </w:r>
      <w:r w:rsidR="00E7320C">
        <w:t>limit</w:t>
      </w:r>
      <w:r w:rsidR="00EC63B7">
        <w:t>ing</w:t>
      </w:r>
      <w:r w:rsidR="00E7320C">
        <w:t xml:space="preserve"> the </w:t>
      </w:r>
      <w:r w:rsidR="00795D0B">
        <w:t>number of new tobacco-related products from entering the country</w:t>
      </w:r>
      <w:r w:rsidR="00EC63B7">
        <w:t xml:space="preserve">. This </w:t>
      </w:r>
      <w:r w:rsidR="00D42D9D">
        <w:t xml:space="preserve">might be </w:t>
      </w:r>
      <w:r w:rsidR="003A602D">
        <w:t>achieved through the tightening of their current intellectual property laws and procedure</w:t>
      </w:r>
      <w:r w:rsidR="00B67B46">
        <w:t>s</w:t>
      </w:r>
      <w:r w:rsidR="003A602D">
        <w:t>.</w:t>
      </w:r>
      <w:r w:rsidR="00557DA4">
        <w:t xml:space="preserve"> Research on </w:t>
      </w:r>
      <w:r w:rsidR="00E52134">
        <w:t xml:space="preserve">how other </w:t>
      </w:r>
      <w:r w:rsidR="009A725E">
        <w:t xml:space="preserve">governments limit </w:t>
      </w:r>
      <w:r w:rsidR="008625A7">
        <w:t xml:space="preserve">the introduction of toxic goods through intellectual property laws </w:t>
      </w:r>
      <w:r w:rsidR="006A5471">
        <w:t xml:space="preserve">might aid in </w:t>
      </w:r>
      <w:r w:rsidR="00006850">
        <w:t>this reform process.</w:t>
      </w:r>
      <w:bookmarkStart w:id="0" w:name="_GoBack"/>
      <w:bookmarkEnd w:id="0"/>
    </w:p>
    <w:p w14:paraId="0506F18C" w14:textId="77777777" w:rsidR="000210A6" w:rsidRDefault="000210A6">
      <w:pPr>
        <w:spacing w:before="0" w:after="160" w:line="240" w:lineRule="atLeast"/>
        <w:rPr>
          <w:b/>
          <w:bCs/>
        </w:rPr>
      </w:pPr>
      <w:r>
        <w:rPr>
          <w:b/>
          <w:bCs/>
        </w:rPr>
        <w:br w:type="page"/>
      </w:r>
    </w:p>
    <w:p w14:paraId="661A476C" w14:textId="03560D3F" w:rsidR="00622FA4" w:rsidRPr="00622FA4" w:rsidRDefault="00120A05">
      <w:pPr>
        <w:rPr>
          <w:b/>
          <w:bCs/>
          <w:noProof/>
        </w:rPr>
      </w:pPr>
      <w:r>
        <w:rPr>
          <w:b/>
          <w:bCs/>
          <w:noProof/>
        </w:rPr>
        <w:lastRenderedPageBreak/>
        <w:t xml:space="preserve">Figure 1. Query for </w:t>
      </w:r>
      <w:r w:rsidR="00F72EAD">
        <w:rPr>
          <w:b/>
          <w:bCs/>
          <w:noProof/>
        </w:rPr>
        <w:t>tobacco-related trademarks in the Industrial Property Digital Library</w:t>
      </w:r>
    </w:p>
    <w:p w14:paraId="38E0E881" w14:textId="17611B03" w:rsidR="00D307F6" w:rsidRDefault="00C22B2E" w:rsidP="0025222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C4BF40B" wp14:editId="552416B5">
            <wp:extent cx="5048250" cy="207431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209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D4F8" w14:textId="7F875721" w:rsidR="00622FA4" w:rsidRDefault="00486969">
      <w:pPr>
        <w:spacing w:before="0" w:after="160" w:line="240" w:lineRule="atLeast"/>
        <w:rPr>
          <w:b/>
          <w:bCs/>
        </w:rPr>
      </w:pPr>
      <w:r>
        <w:rPr>
          <w:b/>
          <w:bCs/>
        </w:rPr>
        <w:t xml:space="preserve">Figure 2. </w:t>
      </w:r>
      <w:r w:rsidR="0099307F">
        <w:rPr>
          <w:b/>
          <w:bCs/>
        </w:rPr>
        <w:t>Total number of cigarette-related trademarks by month</w:t>
      </w:r>
    </w:p>
    <w:p w14:paraId="06268481" w14:textId="2E5157EE" w:rsidR="000D336B" w:rsidRDefault="000D336B" w:rsidP="000D336B">
      <w:pPr>
        <w:spacing w:before="0" w:after="160" w:line="240" w:lineRule="atLeas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1A7042E" wp14:editId="1AE33033">
            <wp:extent cx="3105150" cy="243290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5695" cy="244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C61D" w14:textId="397AC1E6" w:rsidR="0099307F" w:rsidRDefault="0099307F" w:rsidP="0099307F">
      <w:pPr>
        <w:spacing w:before="0" w:after="160" w:line="240" w:lineRule="atLeast"/>
        <w:rPr>
          <w:b/>
          <w:bCs/>
        </w:rPr>
      </w:pPr>
      <w:r>
        <w:rPr>
          <w:b/>
          <w:bCs/>
        </w:rPr>
        <w:t xml:space="preserve">Figure </w:t>
      </w:r>
      <w:r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b/>
          <w:bCs/>
        </w:rPr>
        <w:t>N</w:t>
      </w:r>
      <w:r>
        <w:rPr>
          <w:b/>
          <w:bCs/>
        </w:rPr>
        <w:t xml:space="preserve">umber of </w:t>
      </w:r>
      <w:r>
        <w:rPr>
          <w:b/>
          <w:bCs/>
        </w:rPr>
        <w:t>registered</w:t>
      </w:r>
      <w:r>
        <w:rPr>
          <w:b/>
          <w:bCs/>
        </w:rPr>
        <w:t xml:space="preserve"> trademarks </w:t>
      </w:r>
      <w:r w:rsidR="003B616F">
        <w:rPr>
          <w:b/>
          <w:bCs/>
        </w:rPr>
        <w:t>from</w:t>
      </w:r>
      <w:r>
        <w:rPr>
          <w:b/>
          <w:bCs/>
        </w:rPr>
        <w:t xml:space="preserve"> each company </w:t>
      </w:r>
      <w:r>
        <w:rPr>
          <w:b/>
          <w:bCs/>
        </w:rPr>
        <w:t>by month</w:t>
      </w:r>
    </w:p>
    <w:p w14:paraId="1ED2EC3D" w14:textId="27AB00FC" w:rsidR="00486969" w:rsidRDefault="000D336B" w:rsidP="000D336B">
      <w:pPr>
        <w:spacing w:before="0" w:after="160" w:line="240" w:lineRule="atLeas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2848752" wp14:editId="3A5DC4DA">
            <wp:extent cx="3331184" cy="25619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0015" cy="257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969">
        <w:rPr>
          <w:b/>
          <w:bCs/>
        </w:rPr>
        <w:br w:type="page"/>
      </w:r>
    </w:p>
    <w:p w14:paraId="3CD03A34" w14:textId="0AB6B88F" w:rsidR="005E5F9B" w:rsidRDefault="0011778A" w:rsidP="0011778A">
      <w:pPr>
        <w:jc w:val="left"/>
        <w:rPr>
          <w:b/>
          <w:bCs/>
        </w:rPr>
      </w:pPr>
      <w:r>
        <w:rPr>
          <w:b/>
          <w:bCs/>
        </w:rPr>
        <w:lastRenderedPageBreak/>
        <w:t xml:space="preserve">Table 1. </w:t>
      </w:r>
      <w:r w:rsidR="00C962A0">
        <w:rPr>
          <w:b/>
          <w:bCs/>
        </w:rPr>
        <w:t>Description of columns in the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5811"/>
      </w:tblGrid>
      <w:tr w:rsidR="005E5F9B" w14:paraId="1F3096FB" w14:textId="77777777" w:rsidTr="00ED4873">
        <w:tc>
          <w:tcPr>
            <w:tcW w:w="2122" w:type="dxa"/>
          </w:tcPr>
          <w:p w14:paraId="5B835460" w14:textId="4B65EE30" w:rsidR="005E5F9B" w:rsidRDefault="005E5F9B" w:rsidP="0011778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417" w:type="dxa"/>
          </w:tcPr>
          <w:p w14:paraId="5848BFBD" w14:textId="3B5B54FD" w:rsidR="005E5F9B" w:rsidRDefault="005E5F9B" w:rsidP="0011778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Value type</w:t>
            </w:r>
          </w:p>
        </w:tc>
        <w:tc>
          <w:tcPr>
            <w:tcW w:w="5811" w:type="dxa"/>
          </w:tcPr>
          <w:p w14:paraId="79F09FD5" w14:textId="6CF470B2" w:rsidR="005E5F9B" w:rsidRDefault="005E5F9B" w:rsidP="0011778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E5F9B" w14:paraId="1A87C81C" w14:textId="77777777" w:rsidTr="00ED4873">
        <w:tc>
          <w:tcPr>
            <w:tcW w:w="2122" w:type="dxa"/>
          </w:tcPr>
          <w:p w14:paraId="261CE48A" w14:textId="71F6DB1C" w:rsidR="005E5F9B" w:rsidRDefault="008E240E" w:rsidP="0011778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APP. NUMBER</w:t>
            </w:r>
          </w:p>
        </w:tc>
        <w:tc>
          <w:tcPr>
            <w:tcW w:w="1417" w:type="dxa"/>
          </w:tcPr>
          <w:p w14:paraId="3D78554E" w14:textId="6682F317" w:rsidR="005E5F9B" w:rsidRPr="008E240E" w:rsidRDefault="008E240E" w:rsidP="0011778A">
            <w:pPr>
              <w:jc w:val="left"/>
            </w:pPr>
            <w:r w:rsidRPr="008E240E">
              <w:t>Text string</w:t>
            </w:r>
          </w:p>
        </w:tc>
        <w:tc>
          <w:tcPr>
            <w:tcW w:w="5811" w:type="dxa"/>
          </w:tcPr>
          <w:p w14:paraId="4C6D5CA3" w14:textId="5B623E3F" w:rsidR="008E240E" w:rsidRPr="008E240E" w:rsidRDefault="008E240E" w:rsidP="0011778A">
            <w:pPr>
              <w:jc w:val="left"/>
            </w:pPr>
            <w:r>
              <w:t>Unique identification number of each trademark</w:t>
            </w:r>
          </w:p>
        </w:tc>
      </w:tr>
      <w:tr w:rsidR="008E240E" w14:paraId="5B203787" w14:textId="77777777" w:rsidTr="00ED4873">
        <w:tc>
          <w:tcPr>
            <w:tcW w:w="2122" w:type="dxa"/>
          </w:tcPr>
          <w:p w14:paraId="5FBE3ABF" w14:textId="4A05ED5B" w:rsidR="008E240E" w:rsidRDefault="008E240E" w:rsidP="0011778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APPLICANT / RIGHT HOLDER</w:t>
            </w:r>
          </w:p>
        </w:tc>
        <w:tc>
          <w:tcPr>
            <w:tcW w:w="1417" w:type="dxa"/>
          </w:tcPr>
          <w:p w14:paraId="1FE094BE" w14:textId="4842923C" w:rsidR="008E240E" w:rsidRPr="008E240E" w:rsidRDefault="008E240E" w:rsidP="0011778A">
            <w:pPr>
              <w:jc w:val="left"/>
            </w:pPr>
            <w:r>
              <w:t>Text string</w:t>
            </w:r>
          </w:p>
        </w:tc>
        <w:tc>
          <w:tcPr>
            <w:tcW w:w="5811" w:type="dxa"/>
          </w:tcPr>
          <w:p w14:paraId="05B71152" w14:textId="21FFA7D5" w:rsidR="008E240E" w:rsidRPr="008E240E" w:rsidRDefault="008E240E" w:rsidP="0011778A">
            <w:pPr>
              <w:jc w:val="left"/>
            </w:pPr>
            <w:r>
              <w:t xml:space="preserve">Name of the company </w:t>
            </w:r>
            <w:r w:rsidR="00ED4873">
              <w:t>registering the trademark with the National Office of Intellectual Property of Vietnam</w:t>
            </w:r>
          </w:p>
        </w:tc>
      </w:tr>
      <w:tr w:rsidR="008E240E" w14:paraId="69EF70B9" w14:textId="77777777" w:rsidTr="00ED4873">
        <w:tc>
          <w:tcPr>
            <w:tcW w:w="2122" w:type="dxa"/>
          </w:tcPr>
          <w:p w14:paraId="7C520B2E" w14:textId="7B1A657F" w:rsidR="008E240E" w:rsidRDefault="00ED4873" w:rsidP="0011778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APP. DATE</w:t>
            </w:r>
          </w:p>
        </w:tc>
        <w:tc>
          <w:tcPr>
            <w:tcW w:w="1417" w:type="dxa"/>
          </w:tcPr>
          <w:p w14:paraId="7283D407" w14:textId="406DA870" w:rsidR="008E240E" w:rsidRPr="008E240E" w:rsidRDefault="00ED4873" w:rsidP="0011778A">
            <w:pPr>
              <w:jc w:val="left"/>
            </w:pPr>
            <w:r>
              <w:t>Date</w:t>
            </w:r>
          </w:p>
        </w:tc>
        <w:tc>
          <w:tcPr>
            <w:tcW w:w="5811" w:type="dxa"/>
          </w:tcPr>
          <w:p w14:paraId="4669F52C" w14:textId="1FE4D990" w:rsidR="008E240E" w:rsidRPr="008E240E" w:rsidRDefault="00ED4873" w:rsidP="0011778A">
            <w:pPr>
              <w:jc w:val="left"/>
            </w:pPr>
            <w:r>
              <w:t>Date of registration</w:t>
            </w:r>
          </w:p>
        </w:tc>
      </w:tr>
      <w:tr w:rsidR="008E240E" w14:paraId="1EC3BA49" w14:textId="77777777" w:rsidTr="00ED4873">
        <w:tc>
          <w:tcPr>
            <w:tcW w:w="2122" w:type="dxa"/>
          </w:tcPr>
          <w:p w14:paraId="66DAAA86" w14:textId="6ED43AAB" w:rsidR="008E240E" w:rsidRDefault="00ED4873" w:rsidP="0011778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TRADEMARK</w:t>
            </w:r>
          </w:p>
        </w:tc>
        <w:tc>
          <w:tcPr>
            <w:tcW w:w="1417" w:type="dxa"/>
          </w:tcPr>
          <w:p w14:paraId="6DCCCBF1" w14:textId="42C44B7C" w:rsidR="008E240E" w:rsidRPr="008E240E" w:rsidRDefault="00ED4873" w:rsidP="0011778A">
            <w:pPr>
              <w:jc w:val="left"/>
            </w:pPr>
            <w:r>
              <w:t>Text string</w:t>
            </w:r>
          </w:p>
        </w:tc>
        <w:tc>
          <w:tcPr>
            <w:tcW w:w="5811" w:type="dxa"/>
          </w:tcPr>
          <w:p w14:paraId="64B8C0A7" w14:textId="55446436" w:rsidR="008E240E" w:rsidRPr="008E240E" w:rsidRDefault="00ED4873" w:rsidP="0011778A">
            <w:pPr>
              <w:jc w:val="left"/>
            </w:pPr>
            <w:r>
              <w:t>Name of the trademark</w:t>
            </w:r>
          </w:p>
        </w:tc>
      </w:tr>
      <w:tr w:rsidR="008E240E" w14:paraId="2E94D39E" w14:textId="77777777" w:rsidTr="00ED4873">
        <w:tc>
          <w:tcPr>
            <w:tcW w:w="2122" w:type="dxa"/>
          </w:tcPr>
          <w:p w14:paraId="5D000DC4" w14:textId="4EAE0B4D" w:rsidR="008E240E" w:rsidRDefault="00ED4873" w:rsidP="0011778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TM TYPE</w:t>
            </w:r>
          </w:p>
        </w:tc>
        <w:tc>
          <w:tcPr>
            <w:tcW w:w="1417" w:type="dxa"/>
          </w:tcPr>
          <w:p w14:paraId="661CED2B" w14:textId="1DE8BDD5" w:rsidR="008E240E" w:rsidRPr="008E240E" w:rsidRDefault="00ED4873" w:rsidP="0011778A">
            <w:pPr>
              <w:jc w:val="left"/>
            </w:pPr>
            <w:r>
              <w:t>Text string</w:t>
            </w:r>
          </w:p>
        </w:tc>
        <w:tc>
          <w:tcPr>
            <w:tcW w:w="5811" w:type="dxa"/>
          </w:tcPr>
          <w:p w14:paraId="7EC38A12" w14:textId="37531C55" w:rsidR="008E240E" w:rsidRPr="008E240E" w:rsidRDefault="00ED4873" w:rsidP="0011778A">
            <w:pPr>
              <w:jc w:val="left"/>
            </w:pPr>
            <w:r>
              <w:t>Trademark type. All values in the dataset are ‘Normal’.</w:t>
            </w:r>
          </w:p>
        </w:tc>
      </w:tr>
      <w:tr w:rsidR="008E240E" w14:paraId="00E40105" w14:textId="77777777" w:rsidTr="00ED4873">
        <w:tc>
          <w:tcPr>
            <w:tcW w:w="2122" w:type="dxa"/>
          </w:tcPr>
          <w:p w14:paraId="6CC1D147" w14:textId="12E03459" w:rsidR="008E240E" w:rsidRDefault="00ED4873" w:rsidP="0011778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TM COLOR</w:t>
            </w:r>
          </w:p>
        </w:tc>
        <w:tc>
          <w:tcPr>
            <w:tcW w:w="1417" w:type="dxa"/>
          </w:tcPr>
          <w:p w14:paraId="6286854E" w14:textId="5AF02F8E" w:rsidR="008E240E" w:rsidRPr="008E240E" w:rsidRDefault="00ED4873" w:rsidP="0011778A">
            <w:pPr>
              <w:jc w:val="left"/>
            </w:pPr>
            <w:r>
              <w:t>Numeric</w:t>
            </w:r>
          </w:p>
        </w:tc>
        <w:tc>
          <w:tcPr>
            <w:tcW w:w="5811" w:type="dxa"/>
          </w:tcPr>
          <w:p w14:paraId="5DB4EC8F" w14:textId="4C91BDE8" w:rsidR="008E240E" w:rsidRPr="008E240E" w:rsidRDefault="00AC74EB" w:rsidP="0011778A">
            <w:pPr>
              <w:jc w:val="left"/>
            </w:pPr>
            <w:r>
              <w:t xml:space="preserve">Trademark color. </w:t>
            </w:r>
            <w:r w:rsidR="00E51B30">
              <w:t>Possible values are 0 and 1.</w:t>
            </w:r>
          </w:p>
        </w:tc>
      </w:tr>
      <w:tr w:rsidR="008E240E" w14:paraId="25B24C19" w14:textId="77777777" w:rsidTr="00ED4873">
        <w:tc>
          <w:tcPr>
            <w:tcW w:w="2122" w:type="dxa"/>
          </w:tcPr>
          <w:p w14:paraId="72BA582B" w14:textId="5A4D78FB" w:rsidR="008E240E" w:rsidRDefault="00E51B30" w:rsidP="0011778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GOODS/ SERVICES</w:t>
            </w:r>
          </w:p>
        </w:tc>
        <w:tc>
          <w:tcPr>
            <w:tcW w:w="1417" w:type="dxa"/>
          </w:tcPr>
          <w:p w14:paraId="71D56CBE" w14:textId="1C4BF3A5" w:rsidR="008E240E" w:rsidRPr="008E240E" w:rsidRDefault="00E51B30" w:rsidP="0011778A">
            <w:pPr>
              <w:jc w:val="left"/>
            </w:pPr>
            <w:r>
              <w:t>Text string</w:t>
            </w:r>
          </w:p>
        </w:tc>
        <w:tc>
          <w:tcPr>
            <w:tcW w:w="5811" w:type="dxa"/>
          </w:tcPr>
          <w:p w14:paraId="23B9B06F" w14:textId="096CCCD7" w:rsidR="008E240E" w:rsidRPr="008E240E" w:rsidRDefault="00E51B30" w:rsidP="0011778A">
            <w:pPr>
              <w:jc w:val="left"/>
            </w:pPr>
            <w:r>
              <w:t xml:space="preserve">Description of Goods/services type. Values in the dataset include variations of category </w:t>
            </w:r>
            <w:r w:rsidR="008C4E42">
              <w:t xml:space="preserve">09, 11, </w:t>
            </w:r>
            <w:r>
              <w:t>34, 35, 41,</w:t>
            </w:r>
            <w:r w:rsidR="008C4E42">
              <w:t xml:space="preserve"> and</w:t>
            </w:r>
            <w:r>
              <w:t xml:space="preserve"> 42</w:t>
            </w:r>
            <w:r w:rsidR="008C4E42">
              <w:t>.</w:t>
            </w:r>
          </w:p>
        </w:tc>
      </w:tr>
      <w:tr w:rsidR="008E240E" w14:paraId="51BEE7D6" w14:textId="77777777" w:rsidTr="00ED4873">
        <w:tc>
          <w:tcPr>
            <w:tcW w:w="2122" w:type="dxa"/>
          </w:tcPr>
          <w:p w14:paraId="25DB710F" w14:textId="21D57A6E" w:rsidR="008E240E" w:rsidRDefault="00ED6135" w:rsidP="0011778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PRODUCT TYPE</w:t>
            </w:r>
          </w:p>
        </w:tc>
        <w:tc>
          <w:tcPr>
            <w:tcW w:w="1417" w:type="dxa"/>
          </w:tcPr>
          <w:p w14:paraId="6E8D13EE" w14:textId="5CB846E4" w:rsidR="008E240E" w:rsidRPr="008E240E" w:rsidRDefault="00ED6135" w:rsidP="0011778A">
            <w:pPr>
              <w:jc w:val="left"/>
            </w:pPr>
            <w:r>
              <w:t>Numeric</w:t>
            </w:r>
          </w:p>
        </w:tc>
        <w:tc>
          <w:tcPr>
            <w:tcW w:w="5811" w:type="dxa"/>
          </w:tcPr>
          <w:p w14:paraId="3542763E" w14:textId="3561057D" w:rsidR="008E240E" w:rsidRPr="008E240E" w:rsidRDefault="00ED6135" w:rsidP="0011778A">
            <w:pPr>
              <w:jc w:val="left"/>
            </w:pPr>
            <w:r>
              <w:t>Product type. Values include 1 = cigarette, 2 = HTP, 3 = ENDS, and 4 = Other (e.g. accessory)</w:t>
            </w:r>
          </w:p>
        </w:tc>
      </w:tr>
      <w:tr w:rsidR="00E329C1" w14:paraId="2889B187" w14:textId="77777777" w:rsidTr="00ED4873">
        <w:tc>
          <w:tcPr>
            <w:tcW w:w="2122" w:type="dxa"/>
          </w:tcPr>
          <w:p w14:paraId="7FD2376C" w14:textId="11B9FAD4" w:rsidR="00E329C1" w:rsidRDefault="00E329C1" w:rsidP="0011778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CHUKAN CODE</w:t>
            </w:r>
          </w:p>
        </w:tc>
        <w:tc>
          <w:tcPr>
            <w:tcW w:w="1417" w:type="dxa"/>
          </w:tcPr>
          <w:p w14:paraId="3EA51695" w14:textId="73E906BB" w:rsidR="00E329C1" w:rsidRDefault="00E329C1" w:rsidP="0011778A">
            <w:pPr>
              <w:jc w:val="left"/>
            </w:pPr>
            <w:r>
              <w:t>Text string</w:t>
            </w:r>
          </w:p>
        </w:tc>
        <w:tc>
          <w:tcPr>
            <w:tcW w:w="5811" w:type="dxa"/>
          </w:tcPr>
          <w:p w14:paraId="5E601EC7" w14:textId="2ADBB54D" w:rsidR="00E329C1" w:rsidRDefault="00B311BC" w:rsidP="0011778A">
            <w:pPr>
              <w:jc w:val="left"/>
            </w:pPr>
            <w:r>
              <w:t>Timeline of the approval/disapproval process</w:t>
            </w:r>
          </w:p>
        </w:tc>
      </w:tr>
      <w:tr w:rsidR="00B311BC" w14:paraId="2BD2C3F4" w14:textId="77777777" w:rsidTr="00ED4873">
        <w:tc>
          <w:tcPr>
            <w:tcW w:w="2122" w:type="dxa"/>
          </w:tcPr>
          <w:p w14:paraId="5C83B3B8" w14:textId="413EC01B" w:rsidR="00B311BC" w:rsidRDefault="00B311BC" w:rsidP="0011778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417" w:type="dxa"/>
          </w:tcPr>
          <w:p w14:paraId="43927D80" w14:textId="7D0B0AE0" w:rsidR="00B311BC" w:rsidRDefault="00B311BC" w:rsidP="0011778A">
            <w:pPr>
              <w:jc w:val="left"/>
            </w:pPr>
            <w:r>
              <w:t>Numeric</w:t>
            </w:r>
          </w:p>
        </w:tc>
        <w:tc>
          <w:tcPr>
            <w:tcW w:w="5811" w:type="dxa"/>
          </w:tcPr>
          <w:p w14:paraId="65E5614D" w14:textId="0B1329DA" w:rsidR="00B311BC" w:rsidRDefault="00135CC8" w:rsidP="0011778A">
            <w:pPr>
              <w:jc w:val="left"/>
            </w:pPr>
            <w:r>
              <w:t xml:space="preserve">Approval/Disapproval status of the trademark, determined based on the Chukan code. </w:t>
            </w:r>
            <w:r w:rsidR="00095E0B">
              <w:t>Values include 0 = denied, 1 = pending, and 2 = approved/granted</w:t>
            </w:r>
          </w:p>
        </w:tc>
      </w:tr>
      <w:tr w:rsidR="00EB6A53" w14:paraId="4D62F60A" w14:textId="77777777" w:rsidTr="00ED4873">
        <w:tc>
          <w:tcPr>
            <w:tcW w:w="2122" w:type="dxa"/>
          </w:tcPr>
          <w:p w14:paraId="4B9FD512" w14:textId="47AAF40A" w:rsidR="00EB6A53" w:rsidRDefault="00EB6A53" w:rsidP="0011778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IMAGE LINK</w:t>
            </w:r>
          </w:p>
        </w:tc>
        <w:tc>
          <w:tcPr>
            <w:tcW w:w="1417" w:type="dxa"/>
          </w:tcPr>
          <w:p w14:paraId="4DBDFBC4" w14:textId="28B28AE3" w:rsidR="00EB6A53" w:rsidRDefault="00BE3409" w:rsidP="0011778A">
            <w:pPr>
              <w:jc w:val="left"/>
            </w:pPr>
            <w:r>
              <w:t>Link</w:t>
            </w:r>
          </w:p>
        </w:tc>
        <w:tc>
          <w:tcPr>
            <w:tcW w:w="5811" w:type="dxa"/>
          </w:tcPr>
          <w:p w14:paraId="0C705B15" w14:textId="469FFB3C" w:rsidR="00EB6A53" w:rsidRDefault="00BE3409" w:rsidP="0011778A">
            <w:pPr>
              <w:jc w:val="left"/>
            </w:pPr>
            <w:r>
              <w:t>Link to the image of the trademark</w:t>
            </w:r>
          </w:p>
        </w:tc>
      </w:tr>
      <w:tr w:rsidR="00BE3409" w14:paraId="08B9860D" w14:textId="77777777" w:rsidTr="00ED4873">
        <w:tc>
          <w:tcPr>
            <w:tcW w:w="2122" w:type="dxa"/>
          </w:tcPr>
          <w:p w14:paraId="3E88F44B" w14:textId="0DB13DFA" w:rsidR="00BE3409" w:rsidRDefault="00BE3409" w:rsidP="0011778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PICTURE</w:t>
            </w:r>
          </w:p>
        </w:tc>
        <w:tc>
          <w:tcPr>
            <w:tcW w:w="1417" w:type="dxa"/>
          </w:tcPr>
          <w:p w14:paraId="2710C098" w14:textId="5BE13DF8" w:rsidR="00BE3409" w:rsidRDefault="00BE3409" w:rsidP="0011778A">
            <w:pPr>
              <w:jc w:val="left"/>
            </w:pPr>
            <w:r>
              <w:t>Image</w:t>
            </w:r>
          </w:p>
        </w:tc>
        <w:tc>
          <w:tcPr>
            <w:tcW w:w="5811" w:type="dxa"/>
          </w:tcPr>
          <w:p w14:paraId="48B95332" w14:textId="4FBE1B13" w:rsidR="00BE3409" w:rsidRDefault="00BE3409" w:rsidP="0011778A">
            <w:pPr>
              <w:jc w:val="left"/>
            </w:pPr>
            <w:r>
              <w:t xml:space="preserve">Picture of </w:t>
            </w:r>
            <w:r w:rsidR="000C5700">
              <w:t>the trademark</w:t>
            </w:r>
          </w:p>
        </w:tc>
      </w:tr>
    </w:tbl>
    <w:p w14:paraId="62A7C82F" w14:textId="77777777" w:rsidR="006806A4" w:rsidRDefault="006806A4" w:rsidP="006806A4">
      <w:pPr>
        <w:rPr>
          <w:b/>
          <w:bCs/>
        </w:rPr>
      </w:pPr>
    </w:p>
    <w:p w14:paraId="74A6B795" w14:textId="77777777" w:rsidR="006806A4" w:rsidRDefault="006806A4">
      <w:pPr>
        <w:spacing w:before="0" w:after="160" w:line="240" w:lineRule="atLeast"/>
        <w:rPr>
          <w:b/>
          <w:bCs/>
        </w:rPr>
      </w:pPr>
      <w:r>
        <w:rPr>
          <w:b/>
          <w:bCs/>
        </w:rPr>
        <w:br w:type="page"/>
      </w:r>
    </w:p>
    <w:p w14:paraId="783AC7B9" w14:textId="59B7A0F5" w:rsidR="006806A4" w:rsidRPr="000839EA" w:rsidRDefault="006806A4" w:rsidP="006806A4">
      <w:pPr>
        <w:rPr>
          <w:b/>
          <w:bCs/>
        </w:rPr>
      </w:pPr>
      <w:r>
        <w:rPr>
          <w:b/>
          <w:bCs/>
        </w:rPr>
        <w:lastRenderedPageBreak/>
        <w:t>Table 2. Number of registered trademarks by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669"/>
        <w:gridCol w:w="1985"/>
        <w:gridCol w:w="1956"/>
        <w:gridCol w:w="1870"/>
      </w:tblGrid>
      <w:tr w:rsidR="006806A4" w14:paraId="24D60370" w14:textId="77777777" w:rsidTr="006C554D">
        <w:tc>
          <w:tcPr>
            <w:tcW w:w="1870" w:type="dxa"/>
          </w:tcPr>
          <w:p w14:paraId="020CF38E" w14:textId="77777777" w:rsidR="006806A4" w:rsidRPr="00046FEA" w:rsidRDefault="006806A4" w:rsidP="006C554D">
            <w:pPr>
              <w:rPr>
                <w:b/>
                <w:bCs/>
              </w:rPr>
            </w:pPr>
            <w:r w:rsidRPr="00046FEA">
              <w:rPr>
                <w:b/>
                <w:bCs/>
              </w:rPr>
              <w:t>Year</w:t>
            </w:r>
          </w:p>
        </w:tc>
        <w:tc>
          <w:tcPr>
            <w:tcW w:w="1669" w:type="dxa"/>
          </w:tcPr>
          <w:p w14:paraId="45E83F11" w14:textId="77777777" w:rsidR="006806A4" w:rsidRPr="00046FEA" w:rsidRDefault="006806A4" w:rsidP="006C554D">
            <w:pPr>
              <w:rPr>
                <w:b/>
                <w:bCs/>
              </w:rPr>
            </w:pPr>
            <w:r w:rsidRPr="00046FEA">
              <w:rPr>
                <w:b/>
                <w:bCs/>
              </w:rPr>
              <w:t>Annual total</w:t>
            </w:r>
          </w:p>
        </w:tc>
        <w:tc>
          <w:tcPr>
            <w:tcW w:w="1985" w:type="dxa"/>
          </w:tcPr>
          <w:p w14:paraId="79C836A8" w14:textId="77777777" w:rsidR="006806A4" w:rsidRPr="00046FEA" w:rsidRDefault="006806A4" w:rsidP="006C554D">
            <w:pPr>
              <w:rPr>
                <w:b/>
                <w:bCs/>
              </w:rPr>
            </w:pPr>
            <w:r w:rsidRPr="00046FEA">
              <w:rPr>
                <w:b/>
                <w:bCs/>
              </w:rPr>
              <w:t>PMI</w:t>
            </w:r>
            <w:r>
              <w:rPr>
                <w:b/>
                <w:bCs/>
              </w:rPr>
              <w:t xml:space="preserve"> trademarks</w:t>
            </w:r>
          </w:p>
        </w:tc>
        <w:tc>
          <w:tcPr>
            <w:tcW w:w="1956" w:type="dxa"/>
          </w:tcPr>
          <w:p w14:paraId="10E5C6D1" w14:textId="77777777" w:rsidR="006806A4" w:rsidRPr="00046FEA" w:rsidRDefault="006806A4" w:rsidP="006C554D">
            <w:pPr>
              <w:rPr>
                <w:b/>
                <w:bCs/>
              </w:rPr>
            </w:pPr>
            <w:r w:rsidRPr="00046FEA">
              <w:rPr>
                <w:b/>
                <w:bCs/>
              </w:rPr>
              <w:t>BAT</w:t>
            </w:r>
            <w:r>
              <w:rPr>
                <w:b/>
                <w:bCs/>
              </w:rPr>
              <w:t xml:space="preserve"> trademarks</w:t>
            </w:r>
          </w:p>
        </w:tc>
        <w:tc>
          <w:tcPr>
            <w:tcW w:w="1870" w:type="dxa"/>
          </w:tcPr>
          <w:p w14:paraId="5A08F619" w14:textId="77777777" w:rsidR="006806A4" w:rsidRPr="00046FEA" w:rsidRDefault="006806A4" w:rsidP="006C554D">
            <w:pPr>
              <w:rPr>
                <w:b/>
                <w:bCs/>
              </w:rPr>
            </w:pPr>
            <w:r w:rsidRPr="00046FEA">
              <w:rPr>
                <w:b/>
                <w:bCs/>
              </w:rPr>
              <w:t>JPI</w:t>
            </w:r>
            <w:r>
              <w:rPr>
                <w:b/>
                <w:bCs/>
              </w:rPr>
              <w:t xml:space="preserve"> trademarks</w:t>
            </w:r>
          </w:p>
        </w:tc>
      </w:tr>
      <w:tr w:rsidR="006806A4" w14:paraId="2EC688D9" w14:textId="77777777" w:rsidTr="006C554D">
        <w:tc>
          <w:tcPr>
            <w:tcW w:w="1870" w:type="dxa"/>
          </w:tcPr>
          <w:p w14:paraId="414E97CF" w14:textId="77777777" w:rsidR="006806A4" w:rsidRPr="00046FEA" w:rsidRDefault="006806A4" w:rsidP="006C554D">
            <w:pPr>
              <w:rPr>
                <w:b/>
                <w:bCs/>
              </w:rPr>
            </w:pPr>
            <w:r w:rsidRPr="00046FEA">
              <w:rPr>
                <w:b/>
                <w:bCs/>
              </w:rPr>
              <w:t>2015</w:t>
            </w:r>
          </w:p>
        </w:tc>
        <w:tc>
          <w:tcPr>
            <w:tcW w:w="1669" w:type="dxa"/>
          </w:tcPr>
          <w:p w14:paraId="7F22BBE8" w14:textId="77777777" w:rsidR="006806A4" w:rsidRDefault="006806A4" w:rsidP="006C554D">
            <w:r>
              <w:t>224</w:t>
            </w:r>
          </w:p>
        </w:tc>
        <w:tc>
          <w:tcPr>
            <w:tcW w:w="1985" w:type="dxa"/>
          </w:tcPr>
          <w:p w14:paraId="728FC012" w14:textId="77777777" w:rsidR="006806A4" w:rsidRDefault="006806A4" w:rsidP="006C554D">
            <w:r>
              <w:t>5 (2.2%)</w:t>
            </w:r>
          </w:p>
        </w:tc>
        <w:tc>
          <w:tcPr>
            <w:tcW w:w="1956" w:type="dxa"/>
          </w:tcPr>
          <w:p w14:paraId="0FC85812" w14:textId="77777777" w:rsidR="006806A4" w:rsidRDefault="006806A4" w:rsidP="006C554D">
            <w:r>
              <w:t>45 (20.0%)</w:t>
            </w:r>
          </w:p>
        </w:tc>
        <w:tc>
          <w:tcPr>
            <w:tcW w:w="1870" w:type="dxa"/>
          </w:tcPr>
          <w:p w14:paraId="13E762D0" w14:textId="77777777" w:rsidR="006806A4" w:rsidRDefault="006806A4" w:rsidP="006C554D">
            <w:r>
              <w:t>3 (1.3%)</w:t>
            </w:r>
          </w:p>
        </w:tc>
      </w:tr>
      <w:tr w:rsidR="006806A4" w14:paraId="3A1FC4B4" w14:textId="77777777" w:rsidTr="006C554D">
        <w:tc>
          <w:tcPr>
            <w:tcW w:w="1870" w:type="dxa"/>
          </w:tcPr>
          <w:p w14:paraId="117CCB05" w14:textId="77777777" w:rsidR="006806A4" w:rsidRPr="00046FEA" w:rsidRDefault="006806A4" w:rsidP="006C554D">
            <w:pPr>
              <w:rPr>
                <w:b/>
                <w:bCs/>
              </w:rPr>
            </w:pPr>
            <w:r w:rsidRPr="00046FEA">
              <w:rPr>
                <w:b/>
                <w:bCs/>
              </w:rPr>
              <w:t>2016</w:t>
            </w:r>
          </w:p>
        </w:tc>
        <w:tc>
          <w:tcPr>
            <w:tcW w:w="1669" w:type="dxa"/>
          </w:tcPr>
          <w:p w14:paraId="7B853EA7" w14:textId="77777777" w:rsidR="006806A4" w:rsidRDefault="006806A4" w:rsidP="006C554D">
            <w:r>
              <w:t>225</w:t>
            </w:r>
          </w:p>
        </w:tc>
        <w:tc>
          <w:tcPr>
            <w:tcW w:w="1985" w:type="dxa"/>
          </w:tcPr>
          <w:p w14:paraId="41C18394" w14:textId="77777777" w:rsidR="006806A4" w:rsidRDefault="006806A4" w:rsidP="006C554D">
            <w:r>
              <w:t>53 (23.5%)</w:t>
            </w:r>
          </w:p>
        </w:tc>
        <w:tc>
          <w:tcPr>
            <w:tcW w:w="1956" w:type="dxa"/>
          </w:tcPr>
          <w:p w14:paraId="37E1A8CC" w14:textId="77777777" w:rsidR="006806A4" w:rsidRDefault="006806A4" w:rsidP="006C554D">
            <w:r>
              <w:t>12 (5.3%)</w:t>
            </w:r>
          </w:p>
        </w:tc>
        <w:tc>
          <w:tcPr>
            <w:tcW w:w="1870" w:type="dxa"/>
          </w:tcPr>
          <w:p w14:paraId="67156064" w14:textId="77777777" w:rsidR="006806A4" w:rsidRDefault="006806A4" w:rsidP="006C554D">
            <w:r>
              <w:t>2 (0.8%)</w:t>
            </w:r>
          </w:p>
        </w:tc>
      </w:tr>
      <w:tr w:rsidR="006806A4" w14:paraId="4E4BB09D" w14:textId="77777777" w:rsidTr="006C554D">
        <w:tc>
          <w:tcPr>
            <w:tcW w:w="1870" w:type="dxa"/>
          </w:tcPr>
          <w:p w14:paraId="6FCA0833" w14:textId="77777777" w:rsidR="006806A4" w:rsidRPr="00046FEA" w:rsidRDefault="006806A4" w:rsidP="006C554D">
            <w:pPr>
              <w:rPr>
                <w:b/>
                <w:bCs/>
              </w:rPr>
            </w:pPr>
            <w:r w:rsidRPr="00046FEA">
              <w:rPr>
                <w:b/>
                <w:bCs/>
              </w:rPr>
              <w:t>2017</w:t>
            </w:r>
          </w:p>
        </w:tc>
        <w:tc>
          <w:tcPr>
            <w:tcW w:w="1669" w:type="dxa"/>
          </w:tcPr>
          <w:p w14:paraId="34A9926D" w14:textId="77777777" w:rsidR="006806A4" w:rsidRDefault="006806A4" w:rsidP="006C554D">
            <w:r>
              <w:t>383</w:t>
            </w:r>
          </w:p>
        </w:tc>
        <w:tc>
          <w:tcPr>
            <w:tcW w:w="1985" w:type="dxa"/>
          </w:tcPr>
          <w:p w14:paraId="686329D9" w14:textId="77777777" w:rsidR="006806A4" w:rsidRDefault="006806A4" w:rsidP="006C554D">
            <w:r>
              <w:t>19 (4.9%)</w:t>
            </w:r>
          </w:p>
        </w:tc>
        <w:tc>
          <w:tcPr>
            <w:tcW w:w="1956" w:type="dxa"/>
          </w:tcPr>
          <w:p w14:paraId="3F496A42" w14:textId="77777777" w:rsidR="006806A4" w:rsidRDefault="006806A4" w:rsidP="006C554D">
            <w:r>
              <w:t>12 (3.1%)</w:t>
            </w:r>
          </w:p>
        </w:tc>
        <w:tc>
          <w:tcPr>
            <w:tcW w:w="1870" w:type="dxa"/>
          </w:tcPr>
          <w:p w14:paraId="7E7E4C8D" w14:textId="77777777" w:rsidR="006806A4" w:rsidRDefault="006806A4" w:rsidP="006C554D">
            <w:r>
              <w:t>2 (0.5%)</w:t>
            </w:r>
          </w:p>
        </w:tc>
      </w:tr>
      <w:tr w:rsidR="006806A4" w14:paraId="69E5BD7A" w14:textId="77777777" w:rsidTr="006C554D">
        <w:tc>
          <w:tcPr>
            <w:tcW w:w="1870" w:type="dxa"/>
          </w:tcPr>
          <w:p w14:paraId="48C34662" w14:textId="77777777" w:rsidR="006806A4" w:rsidRPr="00046FEA" w:rsidRDefault="006806A4" w:rsidP="006C554D">
            <w:pPr>
              <w:rPr>
                <w:b/>
                <w:bCs/>
              </w:rPr>
            </w:pPr>
            <w:r w:rsidRPr="00046FEA">
              <w:rPr>
                <w:b/>
                <w:bCs/>
              </w:rPr>
              <w:t>2018</w:t>
            </w:r>
          </w:p>
        </w:tc>
        <w:tc>
          <w:tcPr>
            <w:tcW w:w="1669" w:type="dxa"/>
          </w:tcPr>
          <w:p w14:paraId="06700528" w14:textId="77777777" w:rsidR="006806A4" w:rsidRDefault="006806A4" w:rsidP="006C554D">
            <w:r>
              <w:t>410</w:t>
            </w:r>
          </w:p>
        </w:tc>
        <w:tc>
          <w:tcPr>
            <w:tcW w:w="1985" w:type="dxa"/>
          </w:tcPr>
          <w:p w14:paraId="1282840F" w14:textId="77777777" w:rsidR="006806A4" w:rsidRDefault="006806A4" w:rsidP="006C554D">
            <w:r>
              <w:t>12 (2.9%)</w:t>
            </w:r>
          </w:p>
        </w:tc>
        <w:tc>
          <w:tcPr>
            <w:tcW w:w="1956" w:type="dxa"/>
          </w:tcPr>
          <w:p w14:paraId="3410F397" w14:textId="77777777" w:rsidR="006806A4" w:rsidRDefault="006806A4" w:rsidP="006C554D">
            <w:r>
              <w:t>10 (2.4%)</w:t>
            </w:r>
          </w:p>
        </w:tc>
        <w:tc>
          <w:tcPr>
            <w:tcW w:w="1870" w:type="dxa"/>
          </w:tcPr>
          <w:p w14:paraId="095DADEB" w14:textId="77777777" w:rsidR="006806A4" w:rsidRDefault="006806A4" w:rsidP="006C554D">
            <w:r>
              <w:t>3 (0.7%)</w:t>
            </w:r>
          </w:p>
        </w:tc>
      </w:tr>
      <w:tr w:rsidR="006806A4" w14:paraId="003CAB50" w14:textId="77777777" w:rsidTr="006C554D">
        <w:tc>
          <w:tcPr>
            <w:tcW w:w="1870" w:type="dxa"/>
          </w:tcPr>
          <w:p w14:paraId="2DA2D87F" w14:textId="77777777" w:rsidR="006806A4" w:rsidRPr="00046FEA" w:rsidRDefault="006806A4" w:rsidP="006C554D">
            <w:pPr>
              <w:rPr>
                <w:b/>
                <w:bCs/>
              </w:rPr>
            </w:pPr>
            <w:r>
              <w:rPr>
                <w:b/>
                <w:bCs/>
              </w:rPr>
              <w:t>Until 6/</w:t>
            </w:r>
            <w:r w:rsidRPr="00046FEA">
              <w:rPr>
                <w:b/>
                <w:bCs/>
              </w:rPr>
              <w:t>2019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669" w:type="dxa"/>
          </w:tcPr>
          <w:p w14:paraId="5B585E8C" w14:textId="77777777" w:rsidR="006806A4" w:rsidRDefault="006806A4" w:rsidP="006C554D">
            <w:r>
              <w:t>40</w:t>
            </w:r>
          </w:p>
        </w:tc>
        <w:tc>
          <w:tcPr>
            <w:tcW w:w="1985" w:type="dxa"/>
          </w:tcPr>
          <w:p w14:paraId="682FF59A" w14:textId="77777777" w:rsidR="006806A4" w:rsidRDefault="006806A4" w:rsidP="006C554D">
            <w:r>
              <w:t>1 (2.5%)</w:t>
            </w:r>
          </w:p>
        </w:tc>
        <w:tc>
          <w:tcPr>
            <w:tcW w:w="1956" w:type="dxa"/>
          </w:tcPr>
          <w:p w14:paraId="12EDFF7F" w14:textId="77777777" w:rsidR="006806A4" w:rsidRDefault="006806A4" w:rsidP="006C554D">
            <w:r>
              <w:t>0</w:t>
            </w:r>
          </w:p>
        </w:tc>
        <w:tc>
          <w:tcPr>
            <w:tcW w:w="1870" w:type="dxa"/>
          </w:tcPr>
          <w:p w14:paraId="4F6F69DA" w14:textId="77777777" w:rsidR="006806A4" w:rsidRDefault="006806A4" w:rsidP="006C554D">
            <w:r>
              <w:t>0</w:t>
            </w:r>
          </w:p>
        </w:tc>
      </w:tr>
      <w:tr w:rsidR="006806A4" w14:paraId="2430DCAF" w14:textId="77777777" w:rsidTr="006C554D">
        <w:tc>
          <w:tcPr>
            <w:tcW w:w="1870" w:type="dxa"/>
          </w:tcPr>
          <w:p w14:paraId="3284CABE" w14:textId="77777777" w:rsidR="006806A4" w:rsidRPr="00046FEA" w:rsidRDefault="006806A4" w:rsidP="006C554D">
            <w:pPr>
              <w:rPr>
                <w:b/>
                <w:bCs/>
              </w:rPr>
            </w:pPr>
            <w:r w:rsidRPr="00046FEA">
              <w:rPr>
                <w:b/>
                <w:bCs/>
              </w:rPr>
              <w:t>Total</w:t>
            </w:r>
          </w:p>
        </w:tc>
        <w:tc>
          <w:tcPr>
            <w:tcW w:w="1669" w:type="dxa"/>
          </w:tcPr>
          <w:p w14:paraId="2B62BB16" w14:textId="77777777" w:rsidR="006806A4" w:rsidRPr="00046FEA" w:rsidRDefault="006806A4" w:rsidP="006C554D">
            <w:pPr>
              <w:rPr>
                <w:b/>
                <w:bCs/>
              </w:rPr>
            </w:pPr>
            <w:r>
              <w:rPr>
                <w:b/>
                <w:bCs/>
              </w:rPr>
              <w:t>1282</w:t>
            </w:r>
          </w:p>
        </w:tc>
        <w:tc>
          <w:tcPr>
            <w:tcW w:w="1985" w:type="dxa"/>
          </w:tcPr>
          <w:p w14:paraId="05AFF79D" w14:textId="77777777" w:rsidR="006806A4" w:rsidRPr="00046FEA" w:rsidRDefault="006806A4" w:rsidP="006C554D">
            <w:pPr>
              <w:rPr>
                <w:b/>
                <w:bCs/>
              </w:rPr>
            </w:pPr>
            <w:r>
              <w:rPr>
                <w:b/>
                <w:bCs/>
              </w:rPr>
              <w:t>90 (7.0%)</w:t>
            </w:r>
          </w:p>
        </w:tc>
        <w:tc>
          <w:tcPr>
            <w:tcW w:w="1956" w:type="dxa"/>
          </w:tcPr>
          <w:p w14:paraId="4ABAF37D" w14:textId="77777777" w:rsidR="006806A4" w:rsidRPr="00046FEA" w:rsidRDefault="006806A4" w:rsidP="006C554D">
            <w:pPr>
              <w:rPr>
                <w:b/>
                <w:bCs/>
              </w:rPr>
            </w:pPr>
            <w:r>
              <w:rPr>
                <w:b/>
                <w:bCs/>
              </w:rPr>
              <w:t>79 (6.1%)</w:t>
            </w:r>
          </w:p>
        </w:tc>
        <w:tc>
          <w:tcPr>
            <w:tcW w:w="1870" w:type="dxa"/>
          </w:tcPr>
          <w:p w14:paraId="011BD7C2" w14:textId="77777777" w:rsidR="006806A4" w:rsidRPr="00046FEA" w:rsidRDefault="006806A4" w:rsidP="006C554D">
            <w:pPr>
              <w:rPr>
                <w:b/>
                <w:bCs/>
              </w:rPr>
            </w:pPr>
            <w:r>
              <w:rPr>
                <w:b/>
                <w:bCs/>
              </w:rPr>
              <w:t>10 (0.7%)</w:t>
            </w:r>
          </w:p>
        </w:tc>
      </w:tr>
    </w:tbl>
    <w:p w14:paraId="26E37DEE" w14:textId="40310CB3" w:rsidR="00293712" w:rsidRPr="00AA6AE4" w:rsidRDefault="00293712" w:rsidP="00C2259B">
      <w:pPr>
        <w:spacing w:before="240"/>
        <w:rPr>
          <w:b/>
          <w:bCs/>
        </w:rPr>
      </w:pPr>
      <w:r>
        <w:rPr>
          <w:b/>
          <w:bCs/>
        </w:rPr>
        <w:t>Table 3. Company branches that registered trademarks in Vietnam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984"/>
      </w:tblGrid>
      <w:tr w:rsidR="00293712" w14:paraId="779E4EE2" w14:textId="77777777" w:rsidTr="006C554D">
        <w:tc>
          <w:tcPr>
            <w:tcW w:w="1980" w:type="dxa"/>
          </w:tcPr>
          <w:p w14:paraId="0062EB35" w14:textId="77777777" w:rsidR="00293712" w:rsidRPr="00A035A9" w:rsidRDefault="00293712" w:rsidP="006C55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5386" w:type="dxa"/>
          </w:tcPr>
          <w:p w14:paraId="6DE5F843" w14:textId="77777777" w:rsidR="00293712" w:rsidRPr="00A035A9" w:rsidRDefault="00293712" w:rsidP="006C554D">
            <w:pPr>
              <w:jc w:val="center"/>
              <w:rPr>
                <w:b/>
                <w:bCs/>
              </w:rPr>
            </w:pPr>
            <w:r w:rsidRPr="00A035A9">
              <w:rPr>
                <w:b/>
                <w:bCs/>
              </w:rPr>
              <w:t>Branch</w:t>
            </w:r>
          </w:p>
        </w:tc>
        <w:tc>
          <w:tcPr>
            <w:tcW w:w="1984" w:type="dxa"/>
          </w:tcPr>
          <w:p w14:paraId="2A722265" w14:textId="77777777" w:rsidR="00293712" w:rsidRPr="00A035A9" w:rsidRDefault="00293712" w:rsidP="006C55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  <w:r w:rsidRPr="00A035A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</w:t>
            </w:r>
            <w:r w:rsidRPr="00A035A9">
              <w:rPr>
                <w:b/>
                <w:bCs/>
              </w:rPr>
              <w:t>rademarks</w:t>
            </w:r>
          </w:p>
        </w:tc>
      </w:tr>
      <w:tr w:rsidR="00293712" w14:paraId="2E53DC3E" w14:textId="77777777" w:rsidTr="006C554D">
        <w:tc>
          <w:tcPr>
            <w:tcW w:w="1980" w:type="dxa"/>
            <w:vMerge w:val="restart"/>
            <w:vAlign w:val="center"/>
          </w:tcPr>
          <w:p w14:paraId="0F453E46" w14:textId="77777777" w:rsidR="00293712" w:rsidRPr="00A035A9" w:rsidRDefault="00293712" w:rsidP="006C554D">
            <w:pPr>
              <w:jc w:val="center"/>
              <w:rPr>
                <w:b/>
                <w:bCs/>
              </w:rPr>
            </w:pPr>
            <w:r w:rsidRPr="00A035A9">
              <w:rPr>
                <w:b/>
                <w:bCs/>
              </w:rPr>
              <w:t>PMI</w:t>
            </w:r>
          </w:p>
        </w:tc>
        <w:tc>
          <w:tcPr>
            <w:tcW w:w="5386" w:type="dxa"/>
          </w:tcPr>
          <w:p w14:paraId="6E72B4CE" w14:textId="77777777" w:rsidR="00293712" w:rsidRDefault="00293712" w:rsidP="006C554D">
            <w:r>
              <w:t>Philip Morris (Pakistan) Limited</w:t>
            </w:r>
          </w:p>
        </w:tc>
        <w:tc>
          <w:tcPr>
            <w:tcW w:w="1984" w:type="dxa"/>
          </w:tcPr>
          <w:p w14:paraId="418F3793" w14:textId="77777777" w:rsidR="00293712" w:rsidRDefault="00293712" w:rsidP="006C554D">
            <w:r>
              <w:t>1 (1.1%)</w:t>
            </w:r>
          </w:p>
        </w:tc>
      </w:tr>
      <w:tr w:rsidR="00293712" w14:paraId="27280F51" w14:textId="77777777" w:rsidTr="006C554D">
        <w:tc>
          <w:tcPr>
            <w:tcW w:w="1980" w:type="dxa"/>
            <w:vMerge/>
            <w:vAlign w:val="center"/>
          </w:tcPr>
          <w:p w14:paraId="62350832" w14:textId="77777777" w:rsidR="00293712" w:rsidRPr="00A035A9" w:rsidRDefault="00293712" w:rsidP="006C554D">
            <w:pPr>
              <w:jc w:val="center"/>
              <w:rPr>
                <w:b/>
                <w:bCs/>
              </w:rPr>
            </w:pPr>
          </w:p>
        </w:tc>
        <w:tc>
          <w:tcPr>
            <w:tcW w:w="5386" w:type="dxa"/>
          </w:tcPr>
          <w:p w14:paraId="27883F8E" w14:textId="77777777" w:rsidR="00293712" w:rsidRDefault="00293712" w:rsidP="006C554D">
            <w:r>
              <w:t>Philip Morris Brands Sàrl</w:t>
            </w:r>
          </w:p>
        </w:tc>
        <w:tc>
          <w:tcPr>
            <w:tcW w:w="1984" w:type="dxa"/>
          </w:tcPr>
          <w:p w14:paraId="30FAF8D0" w14:textId="77777777" w:rsidR="00293712" w:rsidRDefault="00293712" w:rsidP="006C554D">
            <w:r>
              <w:t>58 (64.4%)</w:t>
            </w:r>
          </w:p>
        </w:tc>
      </w:tr>
      <w:tr w:rsidR="00293712" w14:paraId="662A976A" w14:textId="77777777" w:rsidTr="006C554D">
        <w:tc>
          <w:tcPr>
            <w:tcW w:w="1980" w:type="dxa"/>
            <w:vMerge/>
            <w:vAlign w:val="center"/>
          </w:tcPr>
          <w:p w14:paraId="46E06267" w14:textId="77777777" w:rsidR="00293712" w:rsidRPr="00A035A9" w:rsidRDefault="00293712" w:rsidP="006C554D">
            <w:pPr>
              <w:jc w:val="center"/>
              <w:rPr>
                <w:b/>
                <w:bCs/>
              </w:rPr>
            </w:pPr>
          </w:p>
        </w:tc>
        <w:tc>
          <w:tcPr>
            <w:tcW w:w="5386" w:type="dxa"/>
          </w:tcPr>
          <w:p w14:paraId="292BEA4D" w14:textId="77777777" w:rsidR="00293712" w:rsidRDefault="00293712" w:rsidP="006C554D">
            <w:r>
              <w:t>Philip Morris Products S.A.</w:t>
            </w:r>
          </w:p>
        </w:tc>
        <w:tc>
          <w:tcPr>
            <w:tcW w:w="1984" w:type="dxa"/>
          </w:tcPr>
          <w:p w14:paraId="14C8607F" w14:textId="77777777" w:rsidR="00293712" w:rsidRDefault="00293712" w:rsidP="006C554D">
            <w:r>
              <w:t>28 (31.1%)</w:t>
            </w:r>
          </w:p>
        </w:tc>
      </w:tr>
      <w:tr w:rsidR="00293712" w14:paraId="34AA6836" w14:textId="77777777" w:rsidTr="006C554D">
        <w:tc>
          <w:tcPr>
            <w:tcW w:w="1980" w:type="dxa"/>
            <w:vMerge/>
            <w:vAlign w:val="center"/>
          </w:tcPr>
          <w:p w14:paraId="0AFFAEF4" w14:textId="77777777" w:rsidR="00293712" w:rsidRPr="00A035A9" w:rsidRDefault="00293712" w:rsidP="006C554D">
            <w:pPr>
              <w:jc w:val="center"/>
              <w:rPr>
                <w:b/>
                <w:bCs/>
              </w:rPr>
            </w:pPr>
          </w:p>
        </w:tc>
        <w:tc>
          <w:tcPr>
            <w:tcW w:w="5386" w:type="dxa"/>
          </w:tcPr>
          <w:p w14:paraId="0DE77A45" w14:textId="77777777" w:rsidR="00293712" w:rsidRDefault="00293712" w:rsidP="006C554D">
            <w:r>
              <w:t>Vinataba – Philip Morris Co. Ltd</w:t>
            </w:r>
          </w:p>
        </w:tc>
        <w:tc>
          <w:tcPr>
            <w:tcW w:w="1984" w:type="dxa"/>
          </w:tcPr>
          <w:p w14:paraId="044A6251" w14:textId="77777777" w:rsidR="00293712" w:rsidRDefault="00293712" w:rsidP="006C554D">
            <w:r>
              <w:t>3 (3.3%)</w:t>
            </w:r>
          </w:p>
        </w:tc>
      </w:tr>
      <w:tr w:rsidR="00293712" w14:paraId="6A65D57B" w14:textId="77777777" w:rsidTr="006C554D">
        <w:tc>
          <w:tcPr>
            <w:tcW w:w="1980" w:type="dxa"/>
            <w:vMerge w:val="restart"/>
            <w:vAlign w:val="center"/>
          </w:tcPr>
          <w:p w14:paraId="086CAE98" w14:textId="77777777" w:rsidR="00293712" w:rsidRPr="00A035A9" w:rsidRDefault="00293712" w:rsidP="006C554D">
            <w:pPr>
              <w:jc w:val="center"/>
              <w:rPr>
                <w:b/>
                <w:bCs/>
              </w:rPr>
            </w:pPr>
            <w:r w:rsidRPr="00A035A9">
              <w:rPr>
                <w:b/>
                <w:bCs/>
              </w:rPr>
              <w:t>BAT</w:t>
            </w:r>
          </w:p>
        </w:tc>
        <w:tc>
          <w:tcPr>
            <w:tcW w:w="5386" w:type="dxa"/>
          </w:tcPr>
          <w:p w14:paraId="4C72C1ED" w14:textId="77777777" w:rsidR="00293712" w:rsidRDefault="00293712" w:rsidP="006C554D">
            <w:r>
              <w:t>British American Tobacco (Brands) Inc.</w:t>
            </w:r>
          </w:p>
        </w:tc>
        <w:tc>
          <w:tcPr>
            <w:tcW w:w="1984" w:type="dxa"/>
          </w:tcPr>
          <w:p w14:paraId="69869097" w14:textId="77777777" w:rsidR="00293712" w:rsidRDefault="00293712" w:rsidP="006C554D">
            <w:r>
              <w:t>32 (40.5%)</w:t>
            </w:r>
          </w:p>
        </w:tc>
      </w:tr>
      <w:tr w:rsidR="00293712" w14:paraId="0BB58D28" w14:textId="77777777" w:rsidTr="006C554D">
        <w:tc>
          <w:tcPr>
            <w:tcW w:w="1980" w:type="dxa"/>
            <w:vMerge/>
            <w:vAlign w:val="center"/>
          </w:tcPr>
          <w:p w14:paraId="5FBBCDB6" w14:textId="77777777" w:rsidR="00293712" w:rsidRPr="00A035A9" w:rsidRDefault="00293712" w:rsidP="006C554D">
            <w:pPr>
              <w:jc w:val="center"/>
              <w:rPr>
                <w:b/>
                <w:bCs/>
              </w:rPr>
            </w:pPr>
          </w:p>
        </w:tc>
        <w:tc>
          <w:tcPr>
            <w:tcW w:w="5386" w:type="dxa"/>
          </w:tcPr>
          <w:p w14:paraId="42CFACE3" w14:textId="77777777" w:rsidR="00293712" w:rsidRDefault="00293712" w:rsidP="006C554D">
            <w:r>
              <w:t>British American Tobacco (Brands) Limited</w:t>
            </w:r>
          </w:p>
        </w:tc>
        <w:tc>
          <w:tcPr>
            <w:tcW w:w="1984" w:type="dxa"/>
          </w:tcPr>
          <w:p w14:paraId="34285E47" w14:textId="77777777" w:rsidR="00293712" w:rsidRDefault="00293712" w:rsidP="006C554D">
            <w:r>
              <w:t>27 (34.1%)</w:t>
            </w:r>
          </w:p>
        </w:tc>
      </w:tr>
      <w:tr w:rsidR="00293712" w14:paraId="7538B141" w14:textId="77777777" w:rsidTr="006C554D">
        <w:tc>
          <w:tcPr>
            <w:tcW w:w="1980" w:type="dxa"/>
            <w:vMerge/>
            <w:vAlign w:val="center"/>
          </w:tcPr>
          <w:p w14:paraId="4EF4F652" w14:textId="77777777" w:rsidR="00293712" w:rsidRPr="00A035A9" w:rsidRDefault="00293712" w:rsidP="006C554D">
            <w:pPr>
              <w:jc w:val="center"/>
              <w:rPr>
                <w:b/>
                <w:bCs/>
              </w:rPr>
            </w:pPr>
          </w:p>
        </w:tc>
        <w:tc>
          <w:tcPr>
            <w:tcW w:w="5386" w:type="dxa"/>
          </w:tcPr>
          <w:p w14:paraId="269A89DF" w14:textId="77777777" w:rsidR="00293712" w:rsidRDefault="00293712" w:rsidP="006C554D">
            <w:r>
              <w:t>British American Tobacco (Germany) GmbH</w:t>
            </w:r>
          </w:p>
        </w:tc>
        <w:tc>
          <w:tcPr>
            <w:tcW w:w="1984" w:type="dxa"/>
          </w:tcPr>
          <w:p w14:paraId="11A800F0" w14:textId="77777777" w:rsidR="00293712" w:rsidRDefault="00293712" w:rsidP="006C554D">
            <w:r>
              <w:t>1 (1.2%)</w:t>
            </w:r>
          </w:p>
        </w:tc>
      </w:tr>
      <w:tr w:rsidR="00293712" w14:paraId="5E58E5BD" w14:textId="77777777" w:rsidTr="006C554D">
        <w:tc>
          <w:tcPr>
            <w:tcW w:w="1980" w:type="dxa"/>
            <w:vMerge/>
            <w:vAlign w:val="center"/>
          </w:tcPr>
          <w:p w14:paraId="1AF5020D" w14:textId="77777777" w:rsidR="00293712" w:rsidRPr="00A035A9" w:rsidRDefault="00293712" w:rsidP="006C554D">
            <w:pPr>
              <w:jc w:val="center"/>
              <w:rPr>
                <w:b/>
                <w:bCs/>
              </w:rPr>
            </w:pPr>
          </w:p>
        </w:tc>
        <w:tc>
          <w:tcPr>
            <w:tcW w:w="5386" w:type="dxa"/>
          </w:tcPr>
          <w:p w14:paraId="445C74E1" w14:textId="77777777" w:rsidR="00293712" w:rsidRDefault="00293712" w:rsidP="006C554D">
            <w:r>
              <w:t>CTBAT International Co. Limited</w:t>
            </w:r>
          </w:p>
        </w:tc>
        <w:tc>
          <w:tcPr>
            <w:tcW w:w="1984" w:type="dxa"/>
          </w:tcPr>
          <w:p w14:paraId="29FCB282" w14:textId="77777777" w:rsidR="00293712" w:rsidRDefault="00293712" w:rsidP="006C554D">
            <w:r>
              <w:t>19 (24.0%)</w:t>
            </w:r>
          </w:p>
        </w:tc>
      </w:tr>
      <w:tr w:rsidR="00293712" w14:paraId="37E007DB" w14:textId="77777777" w:rsidTr="006C554D">
        <w:tc>
          <w:tcPr>
            <w:tcW w:w="1980" w:type="dxa"/>
            <w:vAlign w:val="center"/>
          </w:tcPr>
          <w:p w14:paraId="13726C90" w14:textId="77777777" w:rsidR="00293712" w:rsidRPr="00A035A9" w:rsidRDefault="00293712" w:rsidP="006C554D">
            <w:pPr>
              <w:jc w:val="center"/>
              <w:rPr>
                <w:b/>
                <w:bCs/>
              </w:rPr>
            </w:pPr>
            <w:r w:rsidRPr="00A035A9">
              <w:rPr>
                <w:b/>
                <w:bCs/>
              </w:rPr>
              <w:t>JTI</w:t>
            </w:r>
          </w:p>
        </w:tc>
        <w:tc>
          <w:tcPr>
            <w:tcW w:w="5386" w:type="dxa"/>
          </w:tcPr>
          <w:p w14:paraId="27BB8F2E" w14:textId="77777777" w:rsidR="00293712" w:rsidRDefault="00293712" w:rsidP="006C554D">
            <w:r>
              <w:t>Japan Tobacco Inc.</w:t>
            </w:r>
          </w:p>
        </w:tc>
        <w:tc>
          <w:tcPr>
            <w:tcW w:w="1984" w:type="dxa"/>
          </w:tcPr>
          <w:p w14:paraId="61709A65" w14:textId="77777777" w:rsidR="00293712" w:rsidRDefault="00293712" w:rsidP="006C554D">
            <w:r>
              <w:t>10 (100.0%)</w:t>
            </w:r>
          </w:p>
        </w:tc>
      </w:tr>
    </w:tbl>
    <w:p w14:paraId="475B3652" w14:textId="5EF9FBC5" w:rsidR="00D3535F" w:rsidRDefault="005127C5" w:rsidP="00E170C7">
      <w:pPr>
        <w:jc w:val="left"/>
        <w:rPr>
          <w:b/>
          <w:bCs/>
        </w:rPr>
      </w:pPr>
      <w:r>
        <w:rPr>
          <w:b/>
          <w:bCs/>
        </w:rPr>
        <w:lastRenderedPageBreak/>
        <w:t>Table 4. Distribution of trademark color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1617"/>
        <w:gridCol w:w="1908"/>
        <w:gridCol w:w="1909"/>
        <w:gridCol w:w="1909"/>
      </w:tblGrid>
      <w:tr w:rsidR="00BB30B1" w14:paraId="12A35BBA" w14:textId="77777777" w:rsidTr="00BB30B1">
        <w:tc>
          <w:tcPr>
            <w:tcW w:w="2007" w:type="dxa"/>
          </w:tcPr>
          <w:p w14:paraId="367FF96C" w14:textId="19B53FE2" w:rsidR="00BB30B1" w:rsidRDefault="00BB30B1" w:rsidP="00951C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Trademark color</w:t>
            </w:r>
          </w:p>
        </w:tc>
        <w:tc>
          <w:tcPr>
            <w:tcW w:w="1617" w:type="dxa"/>
          </w:tcPr>
          <w:p w14:paraId="2481B611" w14:textId="7145AAA7" w:rsidR="00BB30B1" w:rsidRDefault="00BB30B1" w:rsidP="00951C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</w:t>
            </w:r>
          </w:p>
        </w:tc>
        <w:tc>
          <w:tcPr>
            <w:tcW w:w="1908" w:type="dxa"/>
          </w:tcPr>
          <w:p w14:paraId="66906712" w14:textId="1F193136" w:rsidR="00BB30B1" w:rsidRDefault="00BB30B1" w:rsidP="00951C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PMI</w:t>
            </w:r>
          </w:p>
        </w:tc>
        <w:tc>
          <w:tcPr>
            <w:tcW w:w="1909" w:type="dxa"/>
          </w:tcPr>
          <w:p w14:paraId="4CCEF847" w14:textId="382E173C" w:rsidR="00BB30B1" w:rsidRDefault="00BB30B1" w:rsidP="00951C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BAT</w:t>
            </w:r>
          </w:p>
        </w:tc>
        <w:tc>
          <w:tcPr>
            <w:tcW w:w="1909" w:type="dxa"/>
          </w:tcPr>
          <w:p w14:paraId="3B17945C" w14:textId="28C17038" w:rsidR="00BB30B1" w:rsidRDefault="00BB30B1" w:rsidP="00951C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JTI</w:t>
            </w:r>
          </w:p>
        </w:tc>
      </w:tr>
      <w:tr w:rsidR="00BB30B1" w14:paraId="437D8271" w14:textId="77777777" w:rsidTr="00BB30B1">
        <w:tc>
          <w:tcPr>
            <w:tcW w:w="2007" w:type="dxa"/>
          </w:tcPr>
          <w:p w14:paraId="20029AEE" w14:textId="59607CD1" w:rsidR="00BB30B1" w:rsidRDefault="00BB30B1" w:rsidP="00951C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617" w:type="dxa"/>
          </w:tcPr>
          <w:p w14:paraId="6CCC23FB" w14:textId="02D574BB" w:rsidR="00BB30B1" w:rsidRPr="00242F0C" w:rsidRDefault="00BB30B1" w:rsidP="00951C42">
            <w:pPr>
              <w:jc w:val="center"/>
            </w:pPr>
            <w:r>
              <w:t>965 (75.</w:t>
            </w:r>
            <w:r w:rsidR="003061E4">
              <w:t>3</w:t>
            </w:r>
            <w:r>
              <w:t>%)</w:t>
            </w:r>
          </w:p>
        </w:tc>
        <w:tc>
          <w:tcPr>
            <w:tcW w:w="1908" w:type="dxa"/>
          </w:tcPr>
          <w:p w14:paraId="1EFE6452" w14:textId="43AF3538" w:rsidR="00BB30B1" w:rsidRPr="00242F0C" w:rsidRDefault="00BB30B1" w:rsidP="00951C42">
            <w:pPr>
              <w:jc w:val="center"/>
            </w:pPr>
            <w:r w:rsidRPr="00242F0C">
              <w:t>67 (74.</w:t>
            </w:r>
            <w:r w:rsidR="003061E4">
              <w:t>4</w:t>
            </w:r>
            <w:r w:rsidRPr="00242F0C">
              <w:t>%)</w:t>
            </w:r>
          </w:p>
        </w:tc>
        <w:tc>
          <w:tcPr>
            <w:tcW w:w="1909" w:type="dxa"/>
          </w:tcPr>
          <w:p w14:paraId="205B58AF" w14:textId="162C1CA9" w:rsidR="00BB30B1" w:rsidRPr="00242F0C" w:rsidRDefault="00BB30B1" w:rsidP="00951C42">
            <w:pPr>
              <w:jc w:val="center"/>
            </w:pPr>
            <w:r w:rsidRPr="00242F0C">
              <w:t>48 (60.</w:t>
            </w:r>
            <w:r w:rsidR="003061E4">
              <w:t>8</w:t>
            </w:r>
            <w:r w:rsidRPr="00242F0C">
              <w:t>%)</w:t>
            </w:r>
          </w:p>
        </w:tc>
        <w:tc>
          <w:tcPr>
            <w:tcW w:w="1909" w:type="dxa"/>
          </w:tcPr>
          <w:p w14:paraId="6B660292" w14:textId="46791C33" w:rsidR="00BB30B1" w:rsidRPr="00242F0C" w:rsidRDefault="00BB30B1" w:rsidP="00951C42">
            <w:pPr>
              <w:jc w:val="center"/>
            </w:pPr>
            <w:r w:rsidRPr="00242F0C">
              <w:t>7 (70.0%)</w:t>
            </w:r>
          </w:p>
        </w:tc>
      </w:tr>
      <w:tr w:rsidR="00BB30B1" w14:paraId="3C91CA60" w14:textId="77777777" w:rsidTr="00BB30B1">
        <w:tc>
          <w:tcPr>
            <w:tcW w:w="2007" w:type="dxa"/>
          </w:tcPr>
          <w:p w14:paraId="4101F601" w14:textId="65A15536" w:rsidR="00BB30B1" w:rsidRDefault="00BB30B1" w:rsidP="00951C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17" w:type="dxa"/>
          </w:tcPr>
          <w:p w14:paraId="3CA3A5E4" w14:textId="36DC5665" w:rsidR="00BB30B1" w:rsidRPr="00242F0C" w:rsidRDefault="00BB30B1" w:rsidP="00951C42">
            <w:pPr>
              <w:jc w:val="center"/>
            </w:pPr>
            <w:r>
              <w:t>317 (24.</w:t>
            </w:r>
            <w:r w:rsidR="003061E4">
              <w:t>7</w:t>
            </w:r>
            <w:r>
              <w:t>%)</w:t>
            </w:r>
          </w:p>
        </w:tc>
        <w:tc>
          <w:tcPr>
            <w:tcW w:w="1908" w:type="dxa"/>
          </w:tcPr>
          <w:p w14:paraId="03474CBF" w14:textId="222FA591" w:rsidR="00BB30B1" w:rsidRPr="00242F0C" w:rsidRDefault="00BB30B1" w:rsidP="00951C42">
            <w:pPr>
              <w:jc w:val="center"/>
            </w:pPr>
            <w:r w:rsidRPr="00242F0C">
              <w:t>23 (25.</w:t>
            </w:r>
            <w:r w:rsidR="003061E4">
              <w:t>6</w:t>
            </w:r>
            <w:r w:rsidRPr="00242F0C">
              <w:t>%)</w:t>
            </w:r>
          </w:p>
        </w:tc>
        <w:tc>
          <w:tcPr>
            <w:tcW w:w="1909" w:type="dxa"/>
          </w:tcPr>
          <w:p w14:paraId="615800B2" w14:textId="05777B00" w:rsidR="00BB30B1" w:rsidRPr="00242F0C" w:rsidRDefault="00BB30B1" w:rsidP="00951C42">
            <w:pPr>
              <w:jc w:val="center"/>
            </w:pPr>
            <w:r w:rsidRPr="00242F0C">
              <w:t>31 (39.</w:t>
            </w:r>
            <w:r w:rsidR="003061E4">
              <w:t>2</w:t>
            </w:r>
            <w:r w:rsidRPr="00242F0C">
              <w:t>%)</w:t>
            </w:r>
          </w:p>
        </w:tc>
        <w:tc>
          <w:tcPr>
            <w:tcW w:w="1909" w:type="dxa"/>
          </w:tcPr>
          <w:p w14:paraId="081F872F" w14:textId="5860CEF1" w:rsidR="00BB30B1" w:rsidRPr="00242F0C" w:rsidRDefault="00BB30B1" w:rsidP="00951C42">
            <w:pPr>
              <w:jc w:val="center"/>
            </w:pPr>
            <w:r w:rsidRPr="00242F0C">
              <w:t>3 (30.0%)</w:t>
            </w:r>
          </w:p>
        </w:tc>
      </w:tr>
    </w:tbl>
    <w:p w14:paraId="49F4B409" w14:textId="77777777" w:rsidR="00F63A88" w:rsidRPr="00D64582" w:rsidRDefault="00F63A88" w:rsidP="001B76F8">
      <w:pPr>
        <w:spacing w:before="240"/>
      </w:pPr>
      <w:r>
        <w:rPr>
          <w:b/>
          <w:bCs/>
        </w:rPr>
        <w:t>Table 5. Product type proportion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3A88" w14:paraId="2007F3CF" w14:textId="77777777" w:rsidTr="006C554D">
        <w:tc>
          <w:tcPr>
            <w:tcW w:w="2337" w:type="dxa"/>
          </w:tcPr>
          <w:p w14:paraId="4BAB8786" w14:textId="77777777" w:rsidR="00F63A88" w:rsidRPr="0043728F" w:rsidRDefault="00F63A88" w:rsidP="006C554D">
            <w:pPr>
              <w:rPr>
                <w:b/>
                <w:bCs/>
              </w:rPr>
            </w:pPr>
            <w:r w:rsidRPr="0043728F">
              <w:rPr>
                <w:b/>
                <w:bCs/>
              </w:rPr>
              <w:t>Product type</w:t>
            </w:r>
          </w:p>
        </w:tc>
        <w:tc>
          <w:tcPr>
            <w:tcW w:w="2337" w:type="dxa"/>
          </w:tcPr>
          <w:p w14:paraId="0E7AF9BF" w14:textId="77777777" w:rsidR="00F63A88" w:rsidRPr="0043728F" w:rsidRDefault="00F63A88" w:rsidP="006C554D">
            <w:pPr>
              <w:rPr>
                <w:b/>
                <w:bCs/>
              </w:rPr>
            </w:pPr>
            <w:r w:rsidRPr="0043728F">
              <w:rPr>
                <w:b/>
                <w:bCs/>
              </w:rPr>
              <w:t xml:space="preserve">PMI </w:t>
            </w:r>
          </w:p>
        </w:tc>
        <w:tc>
          <w:tcPr>
            <w:tcW w:w="2338" w:type="dxa"/>
          </w:tcPr>
          <w:p w14:paraId="1ECBD49A" w14:textId="77777777" w:rsidR="00F63A88" w:rsidRPr="0043728F" w:rsidRDefault="00F63A88" w:rsidP="006C554D">
            <w:pPr>
              <w:rPr>
                <w:b/>
                <w:bCs/>
              </w:rPr>
            </w:pPr>
            <w:r w:rsidRPr="0043728F">
              <w:rPr>
                <w:b/>
                <w:bCs/>
              </w:rPr>
              <w:t>BAT</w:t>
            </w:r>
          </w:p>
        </w:tc>
        <w:tc>
          <w:tcPr>
            <w:tcW w:w="2338" w:type="dxa"/>
          </w:tcPr>
          <w:p w14:paraId="0CA7E4FA" w14:textId="77777777" w:rsidR="00F63A88" w:rsidRPr="0043728F" w:rsidRDefault="00F63A88" w:rsidP="006C554D">
            <w:pPr>
              <w:rPr>
                <w:b/>
                <w:bCs/>
              </w:rPr>
            </w:pPr>
            <w:r w:rsidRPr="0043728F">
              <w:rPr>
                <w:b/>
                <w:bCs/>
              </w:rPr>
              <w:t>JTI</w:t>
            </w:r>
          </w:p>
        </w:tc>
      </w:tr>
      <w:tr w:rsidR="00F63A88" w14:paraId="5D84045A" w14:textId="77777777" w:rsidTr="006C554D">
        <w:tc>
          <w:tcPr>
            <w:tcW w:w="2337" w:type="dxa"/>
          </w:tcPr>
          <w:p w14:paraId="6C210D62" w14:textId="77777777" w:rsidR="00F63A88" w:rsidRDefault="00F63A88" w:rsidP="006C554D">
            <w:r>
              <w:t>Cigarettes</w:t>
            </w:r>
          </w:p>
        </w:tc>
        <w:tc>
          <w:tcPr>
            <w:tcW w:w="2337" w:type="dxa"/>
          </w:tcPr>
          <w:p w14:paraId="4B0B69DA" w14:textId="77777777" w:rsidR="00F63A88" w:rsidRDefault="00F63A88" w:rsidP="006C554D">
            <w:r>
              <w:t>82 (91.1%)</w:t>
            </w:r>
          </w:p>
        </w:tc>
        <w:tc>
          <w:tcPr>
            <w:tcW w:w="2338" w:type="dxa"/>
          </w:tcPr>
          <w:p w14:paraId="0FE8B6C7" w14:textId="77777777" w:rsidR="00F63A88" w:rsidRDefault="00F63A88" w:rsidP="006C554D">
            <w:r>
              <w:t>78 (98.7%)</w:t>
            </w:r>
          </w:p>
        </w:tc>
        <w:tc>
          <w:tcPr>
            <w:tcW w:w="2338" w:type="dxa"/>
          </w:tcPr>
          <w:p w14:paraId="6DB896F4" w14:textId="77777777" w:rsidR="00F63A88" w:rsidRDefault="00F63A88" w:rsidP="006C554D">
            <w:r>
              <w:t>10 (100.0%)</w:t>
            </w:r>
          </w:p>
        </w:tc>
      </w:tr>
      <w:tr w:rsidR="00F63A88" w14:paraId="49089371" w14:textId="77777777" w:rsidTr="006C554D">
        <w:tc>
          <w:tcPr>
            <w:tcW w:w="2337" w:type="dxa"/>
          </w:tcPr>
          <w:p w14:paraId="2CA7D853" w14:textId="77777777" w:rsidR="00F63A88" w:rsidRDefault="00F63A88" w:rsidP="006C554D">
            <w:r>
              <w:t>Heated Tobacco Products (HTS)</w:t>
            </w:r>
          </w:p>
        </w:tc>
        <w:tc>
          <w:tcPr>
            <w:tcW w:w="2337" w:type="dxa"/>
          </w:tcPr>
          <w:p w14:paraId="3E22A3A5" w14:textId="77777777" w:rsidR="00F63A88" w:rsidRDefault="00F63A88" w:rsidP="006C554D">
            <w:r>
              <w:t>6 (6.7%)</w:t>
            </w:r>
          </w:p>
        </w:tc>
        <w:tc>
          <w:tcPr>
            <w:tcW w:w="2338" w:type="dxa"/>
          </w:tcPr>
          <w:p w14:paraId="51ECD352" w14:textId="77777777" w:rsidR="00F63A88" w:rsidRDefault="00F63A88" w:rsidP="006C554D">
            <w:r>
              <w:t>1 (1.3%)</w:t>
            </w:r>
          </w:p>
        </w:tc>
        <w:tc>
          <w:tcPr>
            <w:tcW w:w="2338" w:type="dxa"/>
          </w:tcPr>
          <w:p w14:paraId="0573DD97" w14:textId="77777777" w:rsidR="00F63A88" w:rsidRDefault="00F63A88" w:rsidP="006C554D">
            <w:r>
              <w:t>0</w:t>
            </w:r>
          </w:p>
        </w:tc>
      </w:tr>
      <w:tr w:rsidR="00F63A88" w14:paraId="7DEB891E" w14:textId="77777777" w:rsidTr="006C554D">
        <w:tc>
          <w:tcPr>
            <w:tcW w:w="2337" w:type="dxa"/>
          </w:tcPr>
          <w:p w14:paraId="690D289F" w14:textId="77777777" w:rsidR="00F63A88" w:rsidRDefault="00F63A88" w:rsidP="006C554D">
            <w:r>
              <w:t>E-cigarettes (ENDS)</w:t>
            </w:r>
          </w:p>
        </w:tc>
        <w:tc>
          <w:tcPr>
            <w:tcW w:w="2337" w:type="dxa"/>
          </w:tcPr>
          <w:p w14:paraId="38DC3C0C" w14:textId="77777777" w:rsidR="00F63A88" w:rsidRDefault="00F63A88" w:rsidP="006C554D">
            <w:r>
              <w:t>2 (2.2%)</w:t>
            </w:r>
          </w:p>
        </w:tc>
        <w:tc>
          <w:tcPr>
            <w:tcW w:w="2338" w:type="dxa"/>
          </w:tcPr>
          <w:p w14:paraId="73F85B7E" w14:textId="77777777" w:rsidR="00F63A88" w:rsidRDefault="00F63A88" w:rsidP="006C554D">
            <w:r>
              <w:t>0</w:t>
            </w:r>
          </w:p>
        </w:tc>
        <w:tc>
          <w:tcPr>
            <w:tcW w:w="2338" w:type="dxa"/>
          </w:tcPr>
          <w:p w14:paraId="19DAE763" w14:textId="77777777" w:rsidR="00F63A88" w:rsidRDefault="00F63A88" w:rsidP="006C554D">
            <w:r>
              <w:t>0</w:t>
            </w:r>
          </w:p>
        </w:tc>
      </w:tr>
    </w:tbl>
    <w:p w14:paraId="3AAA2F14" w14:textId="77777777" w:rsidR="00CD340F" w:rsidRPr="002A74E6" w:rsidRDefault="00CD340F" w:rsidP="00CD340F">
      <w:pPr>
        <w:spacing w:before="240"/>
        <w:rPr>
          <w:b/>
          <w:bCs/>
        </w:rPr>
      </w:pPr>
      <w:r>
        <w:rPr>
          <w:b/>
          <w:bCs/>
        </w:rPr>
        <w:t>Table 6. Approval/denial status of each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340F" w14:paraId="052BE8C5" w14:textId="77777777" w:rsidTr="006C554D">
        <w:tc>
          <w:tcPr>
            <w:tcW w:w="2337" w:type="dxa"/>
          </w:tcPr>
          <w:p w14:paraId="2DDCDAA6" w14:textId="77777777" w:rsidR="00CD340F" w:rsidRPr="000935B1" w:rsidRDefault="00CD340F" w:rsidP="006C554D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0CBCD79E" w14:textId="77777777" w:rsidR="00CD340F" w:rsidRPr="000935B1" w:rsidRDefault="00CD340F" w:rsidP="006C554D">
            <w:pPr>
              <w:jc w:val="center"/>
              <w:rPr>
                <w:b/>
                <w:bCs/>
              </w:rPr>
            </w:pPr>
            <w:r w:rsidRPr="000935B1">
              <w:rPr>
                <w:b/>
                <w:bCs/>
              </w:rPr>
              <w:t>PMI</w:t>
            </w:r>
          </w:p>
        </w:tc>
        <w:tc>
          <w:tcPr>
            <w:tcW w:w="2338" w:type="dxa"/>
          </w:tcPr>
          <w:p w14:paraId="43A87C8C" w14:textId="77777777" w:rsidR="00CD340F" w:rsidRPr="000935B1" w:rsidRDefault="00CD340F" w:rsidP="006C554D">
            <w:pPr>
              <w:jc w:val="center"/>
              <w:rPr>
                <w:b/>
                <w:bCs/>
              </w:rPr>
            </w:pPr>
            <w:r w:rsidRPr="000935B1">
              <w:rPr>
                <w:b/>
                <w:bCs/>
              </w:rPr>
              <w:t>BAT</w:t>
            </w:r>
          </w:p>
        </w:tc>
        <w:tc>
          <w:tcPr>
            <w:tcW w:w="2338" w:type="dxa"/>
          </w:tcPr>
          <w:p w14:paraId="31BEF0E2" w14:textId="77777777" w:rsidR="00CD340F" w:rsidRPr="000935B1" w:rsidRDefault="00CD340F" w:rsidP="006C554D">
            <w:pPr>
              <w:jc w:val="center"/>
              <w:rPr>
                <w:b/>
                <w:bCs/>
              </w:rPr>
            </w:pPr>
            <w:r w:rsidRPr="000935B1">
              <w:rPr>
                <w:b/>
                <w:bCs/>
              </w:rPr>
              <w:t>JPI</w:t>
            </w:r>
          </w:p>
        </w:tc>
      </w:tr>
      <w:tr w:rsidR="00CD340F" w14:paraId="5A41574D" w14:textId="77777777" w:rsidTr="006C554D">
        <w:tc>
          <w:tcPr>
            <w:tcW w:w="2337" w:type="dxa"/>
          </w:tcPr>
          <w:p w14:paraId="008D78CE" w14:textId="77777777" w:rsidR="00CD340F" w:rsidRPr="000935B1" w:rsidRDefault="00CD340F" w:rsidP="006C554D">
            <w:pPr>
              <w:rPr>
                <w:b/>
                <w:bCs/>
              </w:rPr>
            </w:pPr>
            <w:r w:rsidRPr="000935B1">
              <w:rPr>
                <w:b/>
                <w:bCs/>
              </w:rPr>
              <w:t>Denied</w:t>
            </w:r>
          </w:p>
        </w:tc>
        <w:tc>
          <w:tcPr>
            <w:tcW w:w="2337" w:type="dxa"/>
          </w:tcPr>
          <w:p w14:paraId="4E6022E5" w14:textId="77777777" w:rsidR="00CD340F" w:rsidRDefault="00CD340F" w:rsidP="006C554D">
            <w:pPr>
              <w:jc w:val="center"/>
            </w:pPr>
            <w:r>
              <w:t>9 (10.0%)</w:t>
            </w:r>
          </w:p>
        </w:tc>
        <w:tc>
          <w:tcPr>
            <w:tcW w:w="2338" w:type="dxa"/>
          </w:tcPr>
          <w:p w14:paraId="59277D8A" w14:textId="77777777" w:rsidR="00CD340F" w:rsidRDefault="00CD340F" w:rsidP="006C554D">
            <w:pPr>
              <w:jc w:val="center"/>
            </w:pPr>
            <w:r>
              <w:t>18 (22.8%)</w:t>
            </w:r>
          </w:p>
        </w:tc>
        <w:tc>
          <w:tcPr>
            <w:tcW w:w="2338" w:type="dxa"/>
          </w:tcPr>
          <w:p w14:paraId="5B07EDF9" w14:textId="77777777" w:rsidR="00CD340F" w:rsidRDefault="00CD340F" w:rsidP="006C554D">
            <w:pPr>
              <w:jc w:val="center"/>
            </w:pPr>
            <w:r>
              <w:t>1 (10.0%)</w:t>
            </w:r>
          </w:p>
        </w:tc>
      </w:tr>
      <w:tr w:rsidR="00CD340F" w14:paraId="6582DA62" w14:textId="77777777" w:rsidTr="006C554D">
        <w:tc>
          <w:tcPr>
            <w:tcW w:w="2337" w:type="dxa"/>
          </w:tcPr>
          <w:p w14:paraId="17BF09C1" w14:textId="77777777" w:rsidR="00CD340F" w:rsidRPr="000935B1" w:rsidRDefault="00CD340F" w:rsidP="006C554D">
            <w:pPr>
              <w:rPr>
                <w:b/>
                <w:bCs/>
              </w:rPr>
            </w:pPr>
            <w:r w:rsidRPr="000935B1">
              <w:rPr>
                <w:b/>
                <w:bCs/>
              </w:rPr>
              <w:t>Pending</w:t>
            </w:r>
          </w:p>
        </w:tc>
        <w:tc>
          <w:tcPr>
            <w:tcW w:w="2337" w:type="dxa"/>
          </w:tcPr>
          <w:p w14:paraId="16E5F05B" w14:textId="77777777" w:rsidR="00CD340F" w:rsidRDefault="00CD340F" w:rsidP="006C554D">
            <w:pPr>
              <w:jc w:val="center"/>
            </w:pPr>
            <w:r>
              <w:t>35 (38.9%)</w:t>
            </w:r>
          </w:p>
        </w:tc>
        <w:tc>
          <w:tcPr>
            <w:tcW w:w="2338" w:type="dxa"/>
          </w:tcPr>
          <w:p w14:paraId="0E42923A" w14:textId="77777777" w:rsidR="00CD340F" w:rsidRDefault="00CD340F" w:rsidP="006C554D">
            <w:pPr>
              <w:jc w:val="center"/>
            </w:pPr>
            <w:r>
              <w:t>21 (26.6%)</w:t>
            </w:r>
          </w:p>
        </w:tc>
        <w:tc>
          <w:tcPr>
            <w:tcW w:w="2338" w:type="dxa"/>
          </w:tcPr>
          <w:p w14:paraId="2AF07345" w14:textId="77777777" w:rsidR="00CD340F" w:rsidRDefault="00CD340F" w:rsidP="006C554D">
            <w:pPr>
              <w:jc w:val="center"/>
            </w:pPr>
            <w:r>
              <w:t>5 (50.0%)</w:t>
            </w:r>
          </w:p>
        </w:tc>
      </w:tr>
      <w:tr w:rsidR="00CD340F" w14:paraId="7FF6EC08" w14:textId="77777777" w:rsidTr="006C554D">
        <w:tc>
          <w:tcPr>
            <w:tcW w:w="2337" w:type="dxa"/>
          </w:tcPr>
          <w:p w14:paraId="6800C3E8" w14:textId="77777777" w:rsidR="00CD340F" w:rsidRPr="000935B1" w:rsidRDefault="00CD340F" w:rsidP="006C554D">
            <w:pPr>
              <w:rPr>
                <w:b/>
                <w:bCs/>
              </w:rPr>
            </w:pPr>
            <w:r w:rsidRPr="000935B1">
              <w:rPr>
                <w:b/>
                <w:bCs/>
              </w:rPr>
              <w:t>Approved</w:t>
            </w:r>
          </w:p>
        </w:tc>
        <w:tc>
          <w:tcPr>
            <w:tcW w:w="2337" w:type="dxa"/>
          </w:tcPr>
          <w:p w14:paraId="0068811D" w14:textId="77777777" w:rsidR="00CD340F" w:rsidRDefault="00CD340F" w:rsidP="006C554D">
            <w:pPr>
              <w:jc w:val="center"/>
            </w:pPr>
            <w:r>
              <w:t>46 (51.1%)</w:t>
            </w:r>
          </w:p>
        </w:tc>
        <w:tc>
          <w:tcPr>
            <w:tcW w:w="2338" w:type="dxa"/>
          </w:tcPr>
          <w:p w14:paraId="442DE33E" w14:textId="77777777" w:rsidR="00CD340F" w:rsidRDefault="00CD340F" w:rsidP="006C554D">
            <w:pPr>
              <w:jc w:val="center"/>
            </w:pPr>
            <w:r>
              <w:t>40 (50.6%)</w:t>
            </w:r>
          </w:p>
        </w:tc>
        <w:tc>
          <w:tcPr>
            <w:tcW w:w="2338" w:type="dxa"/>
          </w:tcPr>
          <w:p w14:paraId="2F7393B9" w14:textId="77777777" w:rsidR="00CD340F" w:rsidRDefault="00CD340F" w:rsidP="006C554D">
            <w:pPr>
              <w:jc w:val="center"/>
            </w:pPr>
            <w:r>
              <w:t>4 (40.0%)</w:t>
            </w:r>
          </w:p>
        </w:tc>
      </w:tr>
    </w:tbl>
    <w:p w14:paraId="66B0A09A" w14:textId="77777777" w:rsidR="00B33932" w:rsidRDefault="00B33932" w:rsidP="00CD340F">
      <w:pPr>
        <w:spacing w:before="240"/>
        <w:rPr>
          <w:b/>
          <w:bCs/>
        </w:rPr>
      </w:pPr>
    </w:p>
    <w:p w14:paraId="38A0223B" w14:textId="77777777" w:rsidR="00B33932" w:rsidRDefault="00B33932">
      <w:pPr>
        <w:spacing w:before="0" w:after="160" w:line="240" w:lineRule="atLeast"/>
        <w:rPr>
          <w:b/>
          <w:bCs/>
        </w:rPr>
      </w:pPr>
      <w:r>
        <w:rPr>
          <w:b/>
          <w:bCs/>
        </w:rPr>
        <w:br w:type="page"/>
      </w:r>
    </w:p>
    <w:p w14:paraId="3EC9E837" w14:textId="210E31FB" w:rsidR="00CD340F" w:rsidRDefault="00CD340F" w:rsidP="00CD340F">
      <w:pPr>
        <w:spacing w:before="240"/>
        <w:rPr>
          <w:b/>
          <w:bCs/>
        </w:rPr>
      </w:pPr>
      <w:r>
        <w:rPr>
          <w:b/>
          <w:bCs/>
        </w:rPr>
        <w:lastRenderedPageBreak/>
        <w:t>Table 7. Approval/denial status of each company by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340F" w14:paraId="764F56AC" w14:textId="77777777" w:rsidTr="006C554D">
        <w:tc>
          <w:tcPr>
            <w:tcW w:w="1870" w:type="dxa"/>
          </w:tcPr>
          <w:p w14:paraId="62DE62D1" w14:textId="77777777" w:rsidR="00CD340F" w:rsidRDefault="00CD340F" w:rsidP="006C554D"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870" w:type="dxa"/>
          </w:tcPr>
          <w:p w14:paraId="0881C7CB" w14:textId="77777777" w:rsidR="00CD340F" w:rsidRDefault="00CD340F" w:rsidP="006C554D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870" w:type="dxa"/>
          </w:tcPr>
          <w:p w14:paraId="75DA5E61" w14:textId="77777777" w:rsidR="00CD340F" w:rsidRDefault="00CD340F" w:rsidP="006C554D">
            <w:pPr>
              <w:rPr>
                <w:b/>
                <w:bCs/>
              </w:rPr>
            </w:pPr>
            <w:r>
              <w:rPr>
                <w:b/>
                <w:bCs/>
              </w:rPr>
              <w:t>PMI</w:t>
            </w:r>
          </w:p>
        </w:tc>
        <w:tc>
          <w:tcPr>
            <w:tcW w:w="1870" w:type="dxa"/>
          </w:tcPr>
          <w:p w14:paraId="5563B2D0" w14:textId="77777777" w:rsidR="00CD340F" w:rsidRDefault="00CD340F" w:rsidP="006C554D">
            <w:pPr>
              <w:rPr>
                <w:b/>
                <w:bCs/>
              </w:rPr>
            </w:pPr>
            <w:r>
              <w:rPr>
                <w:b/>
                <w:bCs/>
              </w:rPr>
              <w:t>BAT</w:t>
            </w:r>
          </w:p>
        </w:tc>
        <w:tc>
          <w:tcPr>
            <w:tcW w:w="1870" w:type="dxa"/>
          </w:tcPr>
          <w:p w14:paraId="6CCFADE7" w14:textId="77777777" w:rsidR="00CD340F" w:rsidRDefault="00CD340F" w:rsidP="006C554D">
            <w:pPr>
              <w:rPr>
                <w:b/>
                <w:bCs/>
              </w:rPr>
            </w:pPr>
            <w:r>
              <w:rPr>
                <w:b/>
                <w:bCs/>
              </w:rPr>
              <w:t>JTI</w:t>
            </w:r>
          </w:p>
        </w:tc>
      </w:tr>
      <w:tr w:rsidR="00CD340F" w14:paraId="4ACE3493" w14:textId="77777777" w:rsidTr="006C554D">
        <w:tc>
          <w:tcPr>
            <w:tcW w:w="1870" w:type="dxa"/>
            <w:vMerge w:val="restart"/>
            <w:vAlign w:val="center"/>
          </w:tcPr>
          <w:p w14:paraId="5CBD0A15" w14:textId="77777777" w:rsidR="00CD340F" w:rsidRDefault="00CD340F" w:rsidP="006C55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2015</w:t>
            </w:r>
          </w:p>
        </w:tc>
        <w:tc>
          <w:tcPr>
            <w:tcW w:w="1870" w:type="dxa"/>
          </w:tcPr>
          <w:p w14:paraId="5B389C5F" w14:textId="77777777" w:rsidR="00CD340F" w:rsidRDefault="00CD340F" w:rsidP="006C554D">
            <w:pPr>
              <w:rPr>
                <w:b/>
                <w:bCs/>
              </w:rPr>
            </w:pPr>
            <w:r>
              <w:rPr>
                <w:b/>
                <w:bCs/>
              </w:rPr>
              <w:t>Denied</w:t>
            </w:r>
          </w:p>
        </w:tc>
        <w:tc>
          <w:tcPr>
            <w:tcW w:w="1870" w:type="dxa"/>
          </w:tcPr>
          <w:p w14:paraId="25D3D310" w14:textId="77777777" w:rsidR="00CD340F" w:rsidRPr="002146A0" w:rsidRDefault="00CD340F" w:rsidP="006C554D">
            <w:r w:rsidRPr="002146A0">
              <w:t>3</w:t>
            </w:r>
          </w:p>
        </w:tc>
        <w:tc>
          <w:tcPr>
            <w:tcW w:w="1870" w:type="dxa"/>
          </w:tcPr>
          <w:p w14:paraId="4A54CB87" w14:textId="77777777" w:rsidR="00CD340F" w:rsidRPr="002146A0" w:rsidRDefault="00CD340F" w:rsidP="006C554D">
            <w:r w:rsidRPr="002146A0">
              <w:t>13</w:t>
            </w:r>
          </w:p>
        </w:tc>
        <w:tc>
          <w:tcPr>
            <w:tcW w:w="1870" w:type="dxa"/>
          </w:tcPr>
          <w:p w14:paraId="3210D528" w14:textId="77777777" w:rsidR="00CD340F" w:rsidRPr="002146A0" w:rsidRDefault="00CD340F" w:rsidP="006C554D">
            <w:r w:rsidRPr="002146A0">
              <w:t>1</w:t>
            </w:r>
          </w:p>
        </w:tc>
      </w:tr>
      <w:tr w:rsidR="00CD340F" w14:paraId="45BEC8A3" w14:textId="77777777" w:rsidTr="006C554D">
        <w:tc>
          <w:tcPr>
            <w:tcW w:w="1870" w:type="dxa"/>
            <w:vMerge/>
            <w:vAlign w:val="center"/>
          </w:tcPr>
          <w:p w14:paraId="63C3CB75" w14:textId="77777777" w:rsidR="00CD340F" w:rsidRDefault="00CD340F" w:rsidP="006C554D">
            <w:pPr>
              <w:jc w:val="center"/>
              <w:rPr>
                <w:b/>
                <w:bCs/>
              </w:rPr>
            </w:pPr>
          </w:p>
        </w:tc>
        <w:tc>
          <w:tcPr>
            <w:tcW w:w="1870" w:type="dxa"/>
          </w:tcPr>
          <w:p w14:paraId="69614276" w14:textId="77777777" w:rsidR="00CD340F" w:rsidRDefault="00CD340F" w:rsidP="006C554D">
            <w:pPr>
              <w:rPr>
                <w:b/>
                <w:bCs/>
              </w:rPr>
            </w:pPr>
            <w:r>
              <w:rPr>
                <w:b/>
                <w:bCs/>
              </w:rPr>
              <w:t>Pending</w:t>
            </w:r>
          </w:p>
        </w:tc>
        <w:tc>
          <w:tcPr>
            <w:tcW w:w="1870" w:type="dxa"/>
          </w:tcPr>
          <w:p w14:paraId="533F857A" w14:textId="77777777" w:rsidR="00CD340F" w:rsidRPr="002146A0" w:rsidRDefault="00CD340F" w:rsidP="006C554D">
            <w:r w:rsidRPr="002146A0">
              <w:t>1</w:t>
            </w:r>
          </w:p>
        </w:tc>
        <w:tc>
          <w:tcPr>
            <w:tcW w:w="1870" w:type="dxa"/>
          </w:tcPr>
          <w:p w14:paraId="46F086A4" w14:textId="77777777" w:rsidR="00CD340F" w:rsidRPr="002146A0" w:rsidRDefault="00CD340F" w:rsidP="006C554D">
            <w:r w:rsidRPr="002146A0">
              <w:t>0</w:t>
            </w:r>
          </w:p>
        </w:tc>
        <w:tc>
          <w:tcPr>
            <w:tcW w:w="1870" w:type="dxa"/>
          </w:tcPr>
          <w:p w14:paraId="146A1BF2" w14:textId="77777777" w:rsidR="00CD340F" w:rsidRPr="002146A0" w:rsidRDefault="00CD340F" w:rsidP="006C554D">
            <w:r w:rsidRPr="002146A0">
              <w:t>0</w:t>
            </w:r>
          </w:p>
        </w:tc>
      </w:tr>
      <w:tr w:rsidR="00CD340F" w14:paraId="2B082CA6" w14:textId="77777777" w:rsidTr="006C554D">
        <w:tc>
          <w:tcPr>
            <w:tcW w:w="1870" w:type="dxa"/>
            <w:vMerge/>
            <w:vAlign w:val="center"/>
          </w:tcPr>
          <w:p w14:paraId="4323F81F" w14:textId="77777777" w:rsidR="00CD340F" w:rsidRDefault="00CD340F" w:rsidP="006C554D">
            <w:pPr>
              <w:jc w:val="center"/>
              <w:rPr>
                <w:b/>
                <w:bCs/>
              </w:rPr>
            </w:pPr>
          </w:p>
        </w:tc>
        <w:tc>
          <w:tcPr>
            <w:tcW w:w="1870" w:type="dxa"/>
          </w:tcPr>
          <w:p w14:paraId="55F28E1C" w14:textId="77777777" w:rsidR="00CD340F" w:rsidRDefault="00CD340F" w:rsidP="006C554D">
            <w:pPr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</w:tc>
        <w:tc>
          <w:tcPr>
            <w:tcW w:w="1870" w:type="dxa"/>
          </w:tcPr>
          <w:p w14:paraId="5542A1A3" w14:textId="77777777" w:rsidR="00CD340F" w:rsidRPr="002146A0" w:rsidRDefault="00CD340F" w:rsidP="006C554D">
            <w:r w:rsidRPr="002146A0">
              <w:t>1</w:t>
            </w:r>
          </w:p>
        </w:tc>
        <w:tc>
          <w:tcPr>
            <w:tcW w:w="1870" w:type="dxa"/>
          </w:tcPr>
          <w:p w14:paraId="783FBF68" w14:textId="77777777" w:rsidR="00CD340F" w:rsidRPr="002146A0" w:rsidRDefault="00CD340F" w:rsidP="006C554D">
            <w:r w:rsidRPr="002146A0">
              <w:t>32</w:t>
            </w:r>
          </w:p>
        </w:tc>
        <w:tc>
          <w:tcPr>
            <w:tcW w:w="1870" w:type="dxa"/>
          </w:tcPr>
          <w:p w14:paraId="409EE6C7" w14:textId="77777777" w:rsidR="00CD340F" w:rsidRPr="002146A0" w:rsidRDefault="00CD340F" w:rsidP="006C554D">
            <w:r w:rsidRPr="002146A0">
              <w:t>2</w:t>
            </w:r>
          </w:p>
        </w:tc>
      </w:tr>
      <w:tr w:rsidR="00CD340F" w14:paraId="533B8A0A" w14:textId="77777777" w:rsidTr="006C554D">
        <w:tc>
          <w:tcPr>
            <w:tcW w:w="1870" w:type="dxa"/>
            <w:vMerge w:val="restart"/>
            <w:vAlign w:val="center"/>
          </w:tcPr>
          <w:p w14:paraId="73A5934D" w14:textId="77777777" w:rsidR="00CD340F" w:rsidRDefault="00CD340F" w:rsidP="006C55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2016</w:t>
            </w:r>
          </w:p>
        </w:tc>
        <w:tc>
          <w:tcPr>
            <w:tcW w:w="1870" w:type="dxa"/>
          </w:tcPr>
          <w:p w14:paraId="3210D740" w14:textId="77777777" w:rsidR="00CD340F" w:rsidRDefault="00CD340F" w:rsidP="006C554D">
            <w:pPr>
              <w:rPr>
                <w:b/>
                <w:bCs/>
              </w:rPr>
            </w:pPr>
            <w:r>
              <w:rPr>
                <w:b/>
                <w:bCs/>
              </w:rPr>
              <w:t>Denied</w:t>
            </w:r>
          </w:p>
        </w:tc>
        <w:tc>
          <w:tcPr>
            <w:tcW w:w="1870" w:type="dxa"/>
          </w:tcPr>
          <w:p w14:paraId="4B1E89D7" w14:textId="77777777" w:rsidR="00CD340F" w:rsidRPr="002146A0" w:rsidRDefault="00CD340F" w:rsidP="006C554D">
            <w:r w:rsidRPr="002146A0">
              <w:t>4</w:t>
            </w:r>
          </w:p>
        </w:tc>
        <w:tc>
          <w:tcPr>
            <w:tcW w:w="1870" w:type="dxa"/>
          </w:tcPr>
          <w:p w14:paraId="6D9AE3E8" w14:textId="77777777" w:rsidR="00CD340F" w:rsidRPr="002146A0" w:rsidRDefault="00CD340F" w:rsidP="006C554D">
            <w:r w:rsidRPr="002146A0">
              <w:t>4</w:t>
            </w:r>
          </w:p>
        </w:tc>
        <w:tc>
          <w:tcPr>
            <w:tcW w:w="1870" w:type="dxa"/>
          </w:tcPr>
          <w:p w14:paraId="6A261D36" w14:textId="77777777" w:rsidR="00CD340F" w:rsidRPr="002146A0" w:rsidRDefault="00CD340F" w:rsidP="006C554D">
            <w:r w:rsidRPr="002146A0">
              <w:t>0</w:t>
            </w:r>
          </w:p>
        </w:tc>
      </w:tr>
      <w:tr w:rsidR="00CD340F" w14:paraId="7BC62DCC" w14:textId="77777777" w:rsidTr="006C554D">
        <w:tc>
          <w:tcPr>
            <w:tcW w:w="1870" w:type="dxa"/>
            <w:vMerge/>
            <w:vAlign w:val="center"/>
          </w:tcPr>
          <w:p w14:paraId="2E2B9147" w14:textId="77777777" w:rsidR="00CD340F" w:rsidRDefault="00CD340F" w:rsidP="006C554D">
            <w:pPr>
              <w:jc w:val="center"/>
              <w:rPr>
                <w:b/>
                <w:bCs/>
              </w:rPr>
            </w:pPr>
          </w:p>
        </w:tc>
        <w:tc>
          <w:tcPr>
            <w:tcW w:w="1870" w:type="dxa"/>
          </w:tcPr>
          <w:p w14:paraId="58711CFE" w14:textId="77777777" w:rsidR="00CD340F" w:rsidRDefault="00CD340F" w:rsidP="006C554D">
            <w:pPr>
              <w:rPr>
                <w:b/>
                <w:bCs/>
              </w:rPr>
            </w:pPr>
            <w:r>
              <w:rPr>
                <w:b/>
                <w:bCs/>
              </w:rPr>
              <w:t>Pending</w:t>
            </w:r>
          </w:p>
        </w:tc>
        <w:tc>
          <w:tcPr>
            <w:tcW w:w="1870" w:type="dxa"/>
          </w:tcPr>
          <w:p w14:paraId="06723211" w14:textId="77777777" w:rsidR="00CD340F" w:rsidRPr="002146A0" w:rsidRDefault="00CD340F" w:rsidP="006C554D">
            <w:r w:rsidRPr="002146A0">
              <w:t>6</w:t>
            </w:r>
          </w:p>
        </w:tc>
        <w:tc>
          <w:tcPr>
            <w:tcW w:w="1870" w:type="dxa"/>
          </w:tcPr>
          <w:p w14:paraId="65F757F7" w14:textId="77777777" w:rsidR="00CD340F" w:rsidRPr="002146A0" w:rsidRDefault="00CD340F" w:rsidP="006C554D">
            <w:r w:rsidRPr="002146A0">
              <w:t>1</w:t>
            </w:r>
          </w:p>
        </w:tc>
        <w:tc>
          <w:tcPr>
            <w:tcW w:w="1870" w:type="dxa"/>
          </w:tcPr>
          <w:p w14:paraId="5CF69BDC" w14:textId="77777777" w:rsidR="00CD340F" w:rsidRPr="002146A0" w:rsidRDefault="00CD340F" w:rsidP="006C554D">
            <w:r w:rsidRPr="002146A0">
              <w:t>0</w:t>
            </w:r>
          </w:p>
        </w:tc>
      </w:tr>
      <w:tr w:rsidR="00CD340F" w14:paraId="3FC9E021" w14:textId="77777777" w:rsidTr="006C554D">
        <w:tc>
          <w:tcPr>
            <w:tcW w:w="1870" w:type="dxa"/>
            <w:vMerge/>
            <w:vAlign w:val="center"/>
          </w:tcPr>
          <w:p w14:paraId="7CD7D401" w14:textId="77777777" w:rsidR="00CD340F" w:rsidRDefault="00CD340F" w:rsidP="006C554D">
            <w:pPr>
              <w:jc w:val="center"/>
              <w:rPr>
                <w:b/>
                <w:bCs/>
              </w:rPr>
            </w:pPr>
          </w:p>
        </w:tc>
        <w:tc>
          <w:tcPr>
            <w:tcW w:w="1870" w:type="dxa"/>
          </w:tcPr>
          <w:p w14:paraId="7EED35F4" w14:textId="77777777" w:rsidR="00CD340F" w:rsidRDefault="00CD340F" w:rsidP="006C554D">
            <w:pPr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</w:tc>
        <w:tc>
          <w:tcPr>
            <w:tcW w:w="1870" w:type="dxa"/>
          </w:tcPr>
          <w:p w14:paraId="6D3BBAC3" w14:textId="77777777" w:rsidR="00CD340F" w:rsidRPr="002146A0" w:rsidRDefault="00CD340F" w:rsidP="006C554D">
            <w:r w:rsidRPr="002146A0">
              <w:t>3</w:t>
            </w:r>
          </w:p>
        </w:tc>
        <w:tc>
          <w:tcPr>
            <w:tcW w:w="1870" w:type="dxa"/>
          </w:tcPr>
          <w:p w14:paraId="2778C50D" w14:textId="77777777" w:rsidR="00CD340F" w:rsidRPr="002146A0" w:rsidRDefault="00CD340F" w:rsidP="006C554D">
            <w:r w:rsidRPr="002146A0">
              <w:t>7</w:t>
            </w:r>
          </w:p>
        </w:tc>
        <w:tc>
          <w:tcPr>
            <w:tcW w:w="1870" w:type="dxa"/>
          </w:tcPr>
          <w:p w14:paraId="5F2C4116" w14:textId="77777777" w:rsidR="00CD340F" w:rsidRPr="002146A0" w:rsidRDefault="00CD340F" w:rsidP="006C554D">
            <w:r w:rsidRPr="002146A0">
              <w:t>2</w:t>
            </w:r>
          </w:p>
        </w:tc>
      </w:tr>
      <w:tr w:rsidR="00CD340F" w14:paraId="462E9B70" w14:textId="77777777" w:rsidTr="006C554D">
        <w:tc>
          <w:tcPr>
            <w:tcW w:w="1870" w:type="dxa"/>
            <w:vMerge w:val="restart"/>
            <w:vAlign w:val="center"/>
          </w:tcPr>
          <w:p w14:paraId="3EA8247C" w14:textId="77777777" w:rsidR="00CD340F" w:rsidRDefault="00CD340F" w:rsidP="006C55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2017</w:t>
            </w:r>
          </w:p>
        </w:tc>
        <w:tc>
          <w:tcPr>
            <w:tcW w:w="1870" w:type="dxa"/>
          </w:tcPr>
          <w:p w14:paraId="538C825C" w14:textId="77777777" w:rsidR="00CD340F" w:rsidRDefault="00CD340F" w:rsidP="006C554D">
            <w:pPr>
              <w:rPr>
                <w:b/>
                <w:bCs/>
              </w:rPr>
            </w:pPr>
            <w:r>
              <w:rPr>
                <w:b/>
                <w:bCs/>
              </w:rPr>
              <w:t>Denied</w:t>
            </w:r>
          </w:p>
        </w:tc>
        <w:tc>
          <w:tcPr>
            <w:tcW w:w="1870" w:type="dxa"/>
          </w:tcPr>
          <w:p w14:paraId="5071F10B" w14:textId="77777777" w:rsidR="00CD340F" w:rsidRPr="002146A0" w:rsidRDefault="00CD340F" w:rsidP="006C554D">
            <w:r w:rsidRPr="002146A0">
              <w:t>2</w:t>
            </w:r>
          </w:p>
        </w:tc>
        <w:tc>
          <w:tcPr>
            <w:tcW w:w="1870" w:type="dxa"/>
          </w:tcPr>
          <w:p w14:paraId="3E3902DF" w14:textId="77777777" w:rsidR="00CD340F" w:rsidRPr="002146A0" w:rsidRDefault="00CD340F" w:rsidP="006C554D">
            <w:r w:rsidRPr="002146A0">
              <w:t>0</w:t>
            </w:r>
          </w:p>
        </w:tc>
        <w:tc>
          <w:tcPr>
            <w:tcW w:w="1870" w:type="dxa"/>
          </w:tcPr>
          <w:p w14:paraId="2C2FF09E" w14:textId="77777777" w:rsidR="00CD340F" w:rsidRPr="002146A0" w:rsidRDefault="00CD340F" w:rsidP="006C554D">
            <w:r w:rsidRPr="002146A0">
              <w:t>0</w:t>
            </w:r>
          </w:p>
        </w:tc>
      </w:tr>
      <w:tr w:rsidR="00CD340F" w14:paraId="6AE303E6" w14:textId="77777777" w:rsidTr="006C554D">
        <w:tc>
          <w:tcPr>
            <w:tcW w:w="1870" w:type="dxa"/>
            <w:vMerge/>
          </w:tcPr>
          <w:p w14:paraId="050E00D1" w14:textId="77777777" w:rsidR="00CD340F" w:rsidRDefault="00CD340F" w:rsidP="006C554D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0541FF56" w14:textId="77777777" w:rsidR="00CD340F" w:rsidRDefault="00CD340F" w:rsidP="006C554D">
            <w:pPr>
              <w:rPr>
                <w:b/>
                <w:bCs/>
              </w:rPr>
            </w:pPr>
            <w:r>
              <w:rPr>
                <w:b/>
                <w:bCs/>
              </w:rPr>
              <w:t>Pending</w:t>
            </w:r>
          </w:p>
        </w:tc>
        <w:tc>
          <w:tcPr>
            <w:tcW w:w="1870" w:type="dxa"/>
          </w:tcPr>
          <w:p w14:paraId="4FED3C91" w14:textId="77777777" w:rsidR="00CD340F" w:rsidRPr="002146A0" w:rsidRDefault="00CD340F" w:rsidP="006C554D">
            <w:r w:rsidRPr="002146A0">
              <w:t>15</w:t>
            </w:r>
          </w:p>
        </w:tc>
        <w:tc>
          <w:tcPr>
            <w:tcW w:w="1870" w:type="dxa"/>
          </w:tcPr>
          <w:p w14:paraId="5B39549A" w14:textId="77777777" w:rsidR="00CD340F" w:rsidRPr="002146A0" w:rsidRDefault="00CD340F" w:rsidP="006C554D">
            <w:r w:rsidRPr="002146A0">
              <w:t>11</w:t>
            </w:r>
          </w:p>
        </w:tc>
        <w:tc>
          <w:tcPr>
            <w:tcW w:w="1870" w:type="dxa"/>
          </w:tcPr>
          <w:p w14:paraId="416F6E30" w14:textId="77777777" w:rsidR="00CD340F" w:rsidRPr="002146A0" w:rsidRDefault="00CD340F" w:rsidP="006C554D">
            <w:r w:rsidRPr="002146A0">
              <w:t>2</w:t>
            </w:r>
          </w:p>
        </w:tc>
      </w:tr>
      <w:tr w:rsidR="00CD340F" w14:paraId="2561F4F5" w14:textId="77777777" w:rsidTr="006C554D">
        <w:tc>
          <w:tcPr>
            <w:tcW w:w="1870" w:type="dxa"/>
            <w:vMerge/>
          </w:tcPr>
          <w:p w14:paraId="22196DF1" w14:textId="77777777" w:rsidR="00CD340F" w:rsidRDefault="00CD340F" w:rsidP="006C554D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449B72DE" w14:textId="77777777" w:rsidR="00CD340F" w:rsidRDefault="00CD340F" w:rsidP="006C554D">
            <w:pPr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</w:tc>
        <w:tc>
          <w:tcPr>
            <w:tcW w:w="1870" w:type="dxa"/>
          </w:tcPr>
          <w:p w14:paraId="1A9290F5" w14:textId="77777777" w:rsidR="00CD340F" w:rsidRPr="002146A0" w:rsidRDefault="00CD340F" w:rsidP="006C554D">
            <w:r w:rsidRPr="002146A0">
              <w:t>2</w:t>
            </w:r>
          </w:p>
        </w:tc>
        <w:tc>
          <w:tcPr>
            <w:tcW w:w="1870" w:type="dxa"/>
          </w:tcPr>
          <w:p w14:paraId="03CFC679" w14:textId="77777777" w:rsidR="00CD340F" w:rsidRPr="002146A0" w:rsidRDefault="00CD340F" w:rsidP="006C554D">
            <w:r w:rsidRPr="002146A0">
              <w:t>1</w:t>
            </w:r>
          </w:p>
        </w:tc>
        <w:tc>
          <w:tcPr>
            <w:tcW w:w="1870" w:type="dxa"/>
          </w:tcPr>
          <w:p w14:paraId="54FDBDAA" w14:textId="77777777" w:rsidR="00CD340F" w:rsidRPr="002146A0" w:rsidRDefault="00CD340F" w:rsidP="006C554D">
            <w:r w:rsidRPr="002146A0">
              <w:t>0</w:t>
            </w:r>
          </w:p>
        </w:tc>
      </w:tr>
      <w:tr w:rsidR="00CD340F" w14:paraId="0CD97370" w14:textId="77777777" w:rsidTr="006C554D">
        <w:tc>
          <w:tcPr>
            <w:tcW w:w="1870" w:type="dxa"/>
          </w:tcPr>
          <w:p w14:paraId="39FF1872" w14:textId="77777777" w:rsidR="00CD340F" w:rsidRDefault="00CD340F" w:rsidP="006C554D">
            <w:pPr>
              <w:rPr>
                <w:b/>
                <w:bCs/>
              </w:rPr>
            </w:pPr>
            <w:r>
              <w:rPr>
                <w:b/>
                <w:bCs/>
              </w:rPr>
              <w:t>2018</w:t>
            </w:r>
          </w:p>
        </w:tc>
        <w:tc>
          <w:tcPr>
            <w:tcW w:w="1870" w:type="dxa"/>
          </w:tcPr>
          <w:p w14:paraId="0A59A529" w14:textId="77777777" w:rsidR="00CD340F" w:rsidRDefault="00CD340F" w:rsidP="006C554D">
            <w:pPr>
              <w:rPr>
                <w:b/>
                <w:bCs/>
              </w:rPr>
            </w:pPr>
            <w:r>
              <w:rPr>
                <w:b/>
                <w:bCs/>
              </w:rPr>
              <w:t>Pending</w:t>
            </w:r>
          </w:p>
        </w:tc>
        <w:tc>
          <w:tcPr>
            <w:tcW w:w="1870" w:type="dxa"/>
          </w:tcPr>
          <w:p w14:paraId="2C21BDE8" w14:textId="77777777" w:rsidR="00CD340F" w:rsidRPr="002146A0" w:rsidRDefault="00CD340F" w:rsidP="006C554D">
            <w:r w:rsidRPr="002146A0">
              <w:t>12</w:t>
            </w:r>
          </w:p>
        </w:tc>
        <w:tc>
          <w:tcPr>
            <w:tcW w:w="1870" w:type="dxa"/>
          </w:tcPr>
          <w:p w14:paraId="257F46F9" w14:textId="77777777" w:rsidR="00CD340F" w:rsidRPr="002146A0" w:rsidRDefault="00CD340F" w:rsidP="006C554D">
            <w:r w:rsidRPr="002146A0">
              <w:t>9</w:t>
            </w:r>
          </w:p>
        </w:tc>
        <w:tc>
          <w:tcPr>
            <w:tcW w:w="1870" w:type="dxa"/>
          </w:tcPr>
          <w:p w14:paraId="1ED28232" w14:textId="77777777" w:rsidR="00CD340F" w:rsidRPr="002146A0" w:rsidRDefault="00CD340F" w:rsidP="006C554D">
            <w:r w:rsidRPr="002146A0">
              <w:t>3</w:t>
            </w:r>
          </w:p>
        </w:tc>
      </w:tr>
      <w:tr w:rsidR="00CD340F" w14:paraId="3125DB7A" w14:textId="77777777" w:rsidTr="006C554D">
        <w:tc>
          <w:tcPr>
            <w:tcW w:w="1870" w:type="dxa"/>
          </w:tcPr>
          <w:p w14:paraId="0D2E36CE" w14:textId="77777777" w:rsidR="00CD340F" w:rsidRDefault="00CD340F" w:rsidP="006C554D">
            <w:pPr>
              <w:rPr>
                <w:b/>
                <w:bCs/>
              </w:rPr>
            </w:pPr>
            <w:r>
              <w:rPr>
                <w:b/>
                <w:bCs/>
              </w:rPr>
              <w:t>2019</w:t>
            </w:r>
          </w:p>
        </w:tc>
        <w:tc>
          <w:tcPr>
            <w:tcW w:w="1870" w:type="dxa"/>
          </w:tcPr>
          <w:p w14:paraId="40F92945" w14:textId="77777777" w:rsidR="00CD340F" w:rsidRDefault="00CD340F" w:rsidP="006C554D">
            <w:pPr>
              <w:rPr>
                <w:b/>
                <w:bCs/>
              </w:rPr>
            </w:pPr>
            <w:r>
              <w:rPr>
                <w:b/>
                <w:bCs/>
              </w:rPr>
              <w:t>Pending</w:t>
            </w:r>
          </w:p>
        </w:tc>
        <w:tc>
          <w:tcPr>
            <w:tcW w:w="1870" w:type="dxa"/>
          </w:tcPr>
          <w:p w14:paraId="31B10AE4" w14:textId="77777777" w:rsidR="00CD340F" w:rsidRPr="002146A0" w:rsidRDefault="00CD340F" w:rsidP="006C554D">
            <w:r w:rsidRPr="002146A0">
              <w:t>1</w:t>
            </w:r>
          </w:p>
        </w:tc>
        <w:tc>
          <w:tcPr>
            <w:tcW w:w="1870" w:type="dxa"/>
          </w:tcPr>
          <w:p w14:paraId="6FFBA9F6" w14:textId="77777777" w:rsidR="00CD340F" w:rsidRPr="002146A0" w:rsidRDefault="00CD340F" w:rsidP="006C554D">
            <w:r w:rsidRPr="002146A0">
              <w:t>0</w:t>
            </w:r>
          </w:p>
        </w:tc>
        <w:tc>
          <w:tcPr>
            <w:tcW w:w="1870" w:type="dxa"/>
          </w:tcPr>
          <w:p w14:paraId="24B43A1B" w14:textId="77777777" w:rsidR="00CD340F" w:rsidRPr="002146A0" w:rsidRDefault="00CD340F" w:rsidP="006C554D">
            <w:r w:rsidRPr="002146A0">
              <w:t>0</w:t>
            </w:r>
          </w:p>
        </w:tc>
      </w:tr>
    </w:tbl>
    <w:p w14:paraId="373C929A" w14:textId="77777777" w:rsidR="003B5E71" w:rsidRPr="00622FA4" w:rsidRDefault="003B5E71" w:rsidP="00E170C7">
      <w:pPr>
        <w:jc w:val="left"/>
        <w:rPr>
          <w:b/>
          <w:bCs/>
        </w:rPr>
      </w:pPr>
    </w:p>
    <w:sectPr w:rsidR="003B5E71" w:rsidRPr="00622FA4" w:rsidSect="000D336B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9AEC4" w14:textId="77777777" w:rsidR="0082137C" w:rsidRDefault="0082137C" w:rsidP="001F4107">
      <w:pPr>
        <w:spacing w:before="0" w:after="0" w:line="240" w:lineRule="auto"/>
      </w:pPr>
      <w:r>
        <w:separator/>
      </w:r>
    </w:p>
  </w:endnote>
  <w:endnote w:type="continuationSeparator" w:id="0">
    <w:p w14:paraId="5A11CB88" w14:textId="77777777" w:rsidR="0082137C" w:rsidRDefault="0082137C" w:rsidP="001F41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21CD1" w14:textId="77777777" w:rsidR="0082137C" w:rsidRDefault="0082137C" w:rsidP="001F4107">
      <w:pPr>
        <w:spacing w:before="0" w:after="0" w:line="240" w:lineRule="auto"/>
      </w:pPr>
      <w:r>
        <w:separator/>
      </w:r>
    </w:p>
  </w:footnote>
  <w:footnote w:type="continuationSeparator" w:id="0">
    <w:p w14:paraId="4514F86B" w14:textId="77777777" w:rsidR="0082137C" w:rsidRDefault="0082137C" w:rsidP="001F410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D1832"/>
    <w:multiLevelType w:val="hybridMultilevel"/>
    <w:tmpl w:val="CD4C9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BA5CED"/>
    <w:multiLevelType w:val="multilevel"/>
    <w:tmpl w:val="5FB2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2601B4"/>
    <w:multiLevelType w:val="hybridMultilevel"/>
    <w:tmpl w:val="EDE40A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04"/>
    <w:rsid w:val="00002D4D"/>
    <w:rsid w:val="0000666F"/>
    <w:rsid w:val="00006817"/>
    <w:rsid w:val="00006850"/>
    <w:rsid w:val="00007D92"/>
    <w:rsid w:val="0001088F"/>
    <w:rsid w:val="000110E9"/>
    <w:rsid w:val="00014465"/>
    <w:rsid w:val="00016899"/>
    <w:rsid w:val="000210A6"/>
    <w:rsid w:val="0002564A"/>
    <w:rsid w:val="00044D63"/>
    <w:rsid w:val="000459D9"/>
    <w:rsid w:val="00046FEA"/>
    <w:rsid w:val="00054256"/>
    <w:rsid w:val="00054C28"/>
    <w:rsid w:val="00054EE2"/>
    <w:rsid w:val="00067F58"/>
    <w:rsid w:val="000839EA"/>
    <w:rsid w:val="00085DD0"/>
    <w:rsid w:val="0009029A"/>
    <w:rsid w:val="000935B1"/>
    <w:rsid w:val="00095E0B"/>
    <w:rsid w:val="000A1C76"/>
    <w:rsid w:val="000A26C2"/>
    <w:rsid w:val="000A3041"/>
    <w:rsid w:val="000B13D5"/>
    <w:rsid w:val="000C486F"/>
    <w:rsid w:val="000C5700"/>
    <w:rsid w:val="000D336B"/>
    <w:rsid w:val="000D597B"/>
    <w:rsid w:val="000E4B21"/>
    <w:rsid w:val="000F07B7"/>
    <w:rsid w:val="000F4601"/>
    <w:rsid w:val="00100CF1"/>
    <w:rsid w:val="001032D5"/>
    <w:rsid w:val="001102B1"/>
    <w:rsid w:val="00110F4D"/>
    <w:rsid w:val="0011778A"/>
    <w:rsid w:val="00120A05"/>
    <w:rsid w:val="001218C3"/>
    <w:rsid w:val="0012257B"/>
    <w:rsid w:val="00123214"/>
    <w:rsid w:val="001301A9"/>
    <w:rsid w:val="00132B9E"/>
    <w:rsid w:val="00135CC8"/>
    <w:rsid w:val="001537E9"/>
    <w:rsid w:val="00162761"/>
    <w:rsid w:val="00164C49"/>
    <w:rsid w:val="00171F08"/>
    <w:rsid w:val="00177714"/>
    <w:rsid w:val="00183D1F"/>
    <w:rsid w:val="00197E07"/>
    <w:rsid w:val="001A458D"/>
    <w:rsid w:val="001B6B70"/>
    <w:rsid w:val="001B76F8"/>
    <w:rsid w:val="001C1310"/>
    <w:rsid w:val="001C3FB1"/>
    <w:rsid w:val="001D2610"/>
    <w:rsid w:val="001D7B30"/>
    <w:rsid w:val="001E02D9"/>
    <w:rsid w:val="001E25BF"/>
    <w:rsid w:val="001E4C2D"/>
    <w:rsid w:val="001E5F79"/>
    <w:rsid w:val="001E77D3"/>
    <w:rsid w:val="001F1DF9"/>
    <w:rsid w:val="001F4107"/>
    <w:rsid w:val="001F7F17"/>
    <w:rsid w:val="00204CCD"/>
    <w:rsid w:val="00204EC7"/>
    <w:rsid w:val="002146A0"/>
    <w:rsid w:val="00222B30"/>
    <w:rsid w:val="0022467F"/>
    <w:rsid w:val="00234929"/>
    <w:rsid w:val="00241687"/>
    <w:rsid w:val="00242F0C"/>
    <w:rsid w:val="002458B0"/>
    <w:rsid w:val="00246297"/>
    <w:rsid w:val="0025222C"/>
    <w:rsid w:val="00252B13"/>
    <w:rsid w:val="00252BBB"/>
    <w:rsid w:val="0026321B"/>
    <w:rsid w:val="00263AFE"/>
    <w:rsid w:val="00272529"/>
    <w:rsid w:val="002733E7"/>
    <w:rsid w:val="00277E07"/>
    <w:rsid w:val="00283189"/>
    <w:rsid w:val="002876F7"/>
    <w:rsid w:val="00287C51"/>
    <w:rsid w:val="00293712"/>
    <w:rsid w:val="002946BB"/>
    <w:rsid w:val="002A13D4"/>
    <w:rsid w:val="002A4548"/>
    <w:rsid w:val="002A74E6"/>
    <w:rsid w:val="002B71D9"/>
    <w:rsid w:val="002C3B11"/>
    <w:rsid w:val="002C61E2"/>
    <w:rsid w:val="002D51EE"/>
    <w:rsid w:val="002D6B0D"/>
    <w:rsid w:val="002F4917"/>
    <w:rsid w:val="002F61CC"/>
    <w:rsid w:val="002F6DA5"/>
    <w:rsid w:val="00305F75"/>
    <w:rsid w:val="003061E4"/>
    <w:rsid w:val="00312FFF"/>
    <w:rsid w:val="00324A1A"/>
    <w:rsid w:val="00324DCD"/>
    <w:rsid w:val="003277B1"/>
    <w:rsid w:val="00337EEC"/>
    <w:rsid w:val="00337F2F"/>
    <w:rsid w:val="003606BF"/>
    <w:rsid w:val="003810EB"/>
    <w:rsid w:val="00381AA4"/>
    <w:rsid w:val="0038614F"/>
    <w:rsid w:val="0039009C"/>
    <w:rsid w:val="0039094D"/>
    <w:rsid w:val="003A602D"/>
    <w:rsid w:val="003B5E71"/>
    <w:rsid w:val="003B616F"/>
    <w:rsid w:val="003C28D8"/>
    <w:rsid w:val="003C51AD"/>
    <w:rsid w:val="003C64FF"/>
    <w:rsid w:val="003D0948"/>
    <w:rsid w:val="003D54E0"/>
    <w:rsid w:val="003D7C65"/>
    <w:rsid w:val="003F5CBD"/>
    <w:rsid w:val="00402D5E"/>
    <w:rsid w:val="004037F0"/>
    <w:rsid w:val="00404555"/>
    <w:rsid w:val="00404939"/>
    <w:rsid w:val="00412B52"/>
    <w:rsid w:val="00415C13"/>
    <w:rsid w:val="00422C1B"/>
    <w:rsid w:val="0042469B"/>
    <w:rsid w:val="0043728F"/>
    <w:rsid w:val="00441304"/>
    <w:rsid w:val="00451D7C"/>
    <w:rsid w:val="00452488"/>
    <w:rsid w:val="004615B7"/>
    <w:rsid w:val="00461DC4"/>
    <w:rsid w:val="00462FF6"/>
    <w:rsid w:val="00463F77"/>
    <w:rsid w:val="00474474"/>
    <w:rsid w:val="00482180"/>
    <w:rsid w:val="0048421B"/>
    <w:rsid w:val="00486969"/>
    <w:rsid w:val="0049101E"/>
    <w:rsid w:val="004A7C04"/>
    <w:rsid w:val="004B6914"/>
    <w:rsid w:val="004C29D7"/>
    <w:rsid w:val="004C2F65"/>
    <w:rsid w:val="004F413C"/>
    <w:rsid w:val="004F577F"/>
    <w:rsid w:val="005000B5"/>
    <w:rsid w:val="005026AF"/>
    <w:rsid w:val="005127C5"/>
    <w:rsid w:val="005201FC"/>
    <w:rsid w:val="00530AAD"/>
    <w:rsid w:val="0053315C"/>
    <w:rsid w:val="00533C78"/>
    <w:rsid w:val="005347C3"/>
    <w:rsid w:val="00537A87"/>
    <w:rsid w:val="00545F17"/>
    <w:rsid w:val="005466D1"/>
    <w:rsid w:val="00554083"/>
    <w:rsid w:val="00557DA4"/>
    <w:rsid w:val="00563F8F"/>
    <w:rsid w:val="00567C47"/>
    <w:rsid w:val="00576D3E"/>
    <w:rsid w:val="005772E6"/>
    <w:rsid w:val="005814D0"/>
    <w:rsid w:val="005843D2"/>
    <w:rsid w:val="00585D82"/>
    <w:rsid w:val="00594D25"/>
    <w:rsid w:val="005A06C3"/>
    <w:rsid w:val="005B0DC5"/>
    <w:rsid w:val="005D431F"/>
    <w:rsid w:val="005D759C"/>
    <w:rsid w:val="005E5F9B"/>
    <w:rsid w:val="005F0416"/>
    <w:rsid w:val="005F286E"/>
    <w:rsid w:val="00611C27"/>
    <w:rsid w:val="00622FA4"/>
    <w:rsid w:val="00646D42"/>
    <w:rsid w:val="006475E9"/>
    <w:rsid w:val="00653AC4"/>
    <w:rsid w:val="00654556"/>
    <w:rsid w:val="00665F0E"/>
    <w:rsid w:val="00675DCB"/>
    <w:rsid w:val="006806A4"/>
    <w:rsid w:val="00686463"/>
    <w:rsid w:val="00691229"/>
    <w:rsid w:val="0069284D"/>
    <w:rsid w:val="006A0F8D"/>
    <w:rsid w:val="006A5471"/>
    <w:rsid w:val="006B3AA3"/>
    <w:rsid w:val="006B5026"/>
    <w:rsid w:val="006B5D5F"/>
    <w:rsid w:val="006C51FF"/>
    <w:rsid w:val="006D1DBE"/>
    <w:rsid w:val="006E2489"/>
    <w:rsid w:val="006E50AF"/>
    <w:rsid w:val="006F07C3"/>
    <w:rsid w:val="00701FBA"/>
    <w:rsid w:val="007027F5"/>
    <w:rsid w:val="00717F46"/>
    <w:rsid w:val="00724E3D"/>
    <w:rsid w:val="00730E92"/>
    <w:rsid w:val="00732767"/>
    <w:rsid w:val="00733406"/>
    <w:rsid w:val="00734B2F"/>
    <w:rsid w:val="007407EE"/>
    <w:rsid w:val="0074151C"/>
    <w:rsid w:val="00742998"/>
    <w:rsid w:val="007438CB"/>
    <w:rsid w:val="00752E71"/>
    <w:rsid w:val="00754827"/>
    <w:rsid w:val="0077065E"/>
    <w:rsid w:val="007728F6"/>
    <w:rsid w:val="00775E62"/>
    <w:rsid w:val="0078455C"/>
    <w:rsid w:val="00784FC7"/>
    <w:rsid w:val="00791AFF"/>
    <w:rsid w:val="00795D0B"/>
    <w:rsid w:val="00796B2F"/>
    <w:rsid w:val="007B4088"/>
    <w:rsid w:val="007C23BB"/>
    <w:rsid w:val="007C4809"/>
    <w:rsid w:val="007D4549"/>
    <w:rsid w:val="007D642A"/>
    <w:rsid w:val="007F2F6A"/>
    <w:rsid w:val="008008C7"/>
    <w:rsid w:val="00803A42"/>
    <w:rsid w:val="008172D6"/>
    <w:rsid w:val="0082137C"/>
    <w:rsid w:val="00823A0E"/>
    <w:rsid w:val="00835022"/>
    <w:rsid w:val="00847269"/>
    <w:rsid w:val="00851C04"/>
    <w:rsid w:val="00853839"/>
    <w:rsid w:val="008625A7"/>
    <w:rsid w:val="00865046"/>
    <w:rsid w:val="0088347B"/>
    <w:rsid w:val="00885489"/>
    <w:rsid w:val="00894354"/>
    <w:rsid w:val="008A670E"/>
    <w:rsid w:val="008B52B0"/>
    <w:rsid w:val="008C41C2"/>
    <w:rsid w:val="008C4E42"/>
    <w:rsid w:val="008D2B14"/>
    <w:rsid w:val="008E017A"/>
    <w:rsid w:val="008E240E"/>
    <w:rsid w:val="008F0507"/>
    <w:rsid w:val="008F077D"/>
    <w:rsid w:val="00900613"/>
    <w:rsid w:val="00900A13"/>
    <w:rsid w:val="00901BBC"/>
    <w:rsid w:val="00902DE5"/>
    <w:rsid w:val="00904A3E"/>
    <w:rsid w:val="00904F8C"/>
    <w:rsid w:val="0090732F"/>
    <w:rsid w:val="00927C22"/>
    <w:rsid w:val="00937F14"/>
    <w:rsid w:val="00945596"/>
    <w:rsid w:val="0095088F"/>
    <w:rsid w:val="00951C42"/>
    <w:rsid w:val="00953863"/>
    <w:rsid w:val="00960151"/>
    <w:rsid w:val="00965F45"/>
    <w:rsid w:val="009708AB"/>
    <w:rsid w:val="009769A2"/>
    <w:rsid w:val="00986AA1"/>
    <w:rsid w:val="00991A5B"/>
    <w:rsid w:val="0099307F"/>
    <w:rsid w:val="0099348B"/>
    <w:rsid w:val="009A1820"/>
    <w:rsid w:val="009A725E"/>
    <w:rsid w:val="009A7F11"/>
    <w:rsid w:val="009B0224"/>
    <w:rsid w:val="009C0DF5"/>
    <w:rsid w:val="009D7B56"/>
    <w:rsid w:val="009E1D6D"/>
    <w:rsid w:val="009E5706"/>
    <w:rsid w:val="009F075D"/>
    <w:rsid w:val="009F0B8F"/>
    <w:rsid w:val="00A0121A"/>
    <w:rsid w:val="00A035A9"/>
    <w:rsid w:val="00A06C57"/>
    <w:rsid w:val="00A07ED9"/>
    <w:rsid w:val="00A13B90"/>
    <w:rsid w:val="00A1526B"/>
    <w:rsid w:val="00A21EC2"/>
    <w:rsid w:val="00A30044"/>
    <w:rsid w:val="00A322F1"/>
    <w:rsid w:val="00A42103"/>
    <w:rsid w:val="00A44CCF"/>
    <w:rsid w:val="00A478A1"/>
    <w:rsid w:val="00A565AC"/>
    <w:rsid w:val="00A61497"/>
    <w:rsid w:val="00A62312"/>
    <w:rsid w:val="00A709AC"/>
    <w:rsid w:val="00A712E0"/>
    <w:rsid w:val="00A801FA"/>
    <w:rsid w:val="00A90EC8"/>
    <w:rsid w:val="00A9329F"/>
    <w:rsid w:val="00A95CCA"/>
    <w:rsid w:val="00AA2951"/>
    <w:rsid w:val="00AA4674"/>
    <w:rsid w:val="00AA6AE4"/>
    <w:rsid w:val="00AC524A"/>
    <w:rsid w:val="00AC6B3E"/>
    <w:rsid w:val="00AC74EB"/>
    <w:rsid w:val="00AD14CB"/>
    <w:rsid w:val="00AD79A1"/>
    <w:rsid w:val="00AE0521"/>
    <w:rsid w:val="00AE2880"/>
    <w:rsid w:val="00AF5135"/>
    <w:rsid w:val="00AF51FA"/>
    <w:rsid w:val="00AF7052"/>
    <w:rsid w:val="00B00DA0"/>
    <w:rsid w:val="00B03208"/>
    <w:rsid w:val="00B03426"/>
    <w:rsid w:val="00B052F3"/>
    <w:rsid w:val="00B17A28"/>
    <w:rsid w:val="00B22858"/>
    <w:rsid w:val="00B300FA"/>
    <w:rsid w:val="00B311BC"/>
    <w:rsid w:val="00B31C53"/>
    <w:rsid w:val="00B33932"/>
    <w:rsid w:val="00B3574F"/>
    <w:rsid w:val="00B362F1"/>
    <w:rsid w:val="00B416D4"/>
    <w:rsid w:val="00B42911"/>
    <w:rsid w:val="00B4387B"/>
    <w:rsid w:val="00B52A8E"/>
    <w:rsid w:val="00B57A35"/>
    <w:rsid w:val="00B63BC6"/>
    <w:rsid w:val="00B660A7"/>
    <w:rsid w:val="00B67B46"/>
    <w:rsid w:val="00B7160E"/>
    <w:rsid w:val="00B830E1"/>
    <w:rsid w:val="00B873A8"/>
    <w:rsid w:val="00B92801"/>
    <w:rsid w:val="00B9345C"/>
    <w:rsid w:val="00B96DA5"/>
    <w:rsid w:val="00B9797D"/>
    <w:rsid w:val="00BA088C"/>
    <w:rsid w:val="00BA73A6"/>
    <w:rsid w:val="00BA75A0"/>
    <w:rsid w:val="00BB30B1"/>
    <w:rsid w:val="00BB797C"/>
    <w:rsid w:val="00BC24F8"/>
    <w:rsid w:val="00BC284E"/>
    <w:rsid w:val="00BC459A"/>
    <w:rsid w:val="00BD3E28"/>
    <w:rsid w:val="00BD4358"/>
    <w:rsid w:val="00BE138E"/>
    <w:rsid w:val="00BE3409"/>
    <w:rsid w:val="00C068FC"/>
    <w:rsid w:val="00C076B2"/>
    <w:rsid w:val="00C10B0A"/>
    <w:rsid w:val="00C22447"/>
    <w:rsid w:val="00C2259B"/>
    <w:rsid w:val="00C22B2E"/>
    <w:rsid w:val="00C22C7E"/>
    <w:rsid w:val="00C24509"/>
    <w:rsid w:val="00C369D9"/>
    <w:rsid w:val="00C4256C"/>
    <w:rsid w:val="00C65769"/>
    <w:rsid w:val="00C808DD"/>
    <w:rsid w:val="00C866C9"/>
    <w:rsid w:val="00C95D65"/>
    <w:rsid w:val="00C962A0"/>
    <w:rsid w:val="00CA21BB"/>
    <w:rsid w:val="00CA58CE"/>
    <w:rsid w:val="00CC209B"/>
    <w:rsid w:val="00CD340F"/>
    <w:rsid w:val="00CD7D20"/>
    <w:rsid w:val="00CE0789"/>
    <w:rsid w:val="00CE138E"/>
    <w:rsid w:val="00CF55AA"/>
    <w:rsid w:val="00D03C59"/>
    <w:rsid w:val="00D04B3B"/>
    <w:rsid w:val="00D15BF6"/>
    <w:rsid w:val="00D203F5"/>
    <w:rsid w:val="00D2257F"/>
    <w:rsid w:val="00D259BD"/>
    <w:rsid w:val="00D27733"/>
    <w:rsid w:val="00D307F6"/>
    <w:rsid w:val="00D3152E"/>
    <w:rsid w:val="00D3535F"/>
    <w:rsid w:val="00D42D9D"/>
    <w:rsid w:val="00D550D7"/>
    <w:rsid w:val="00D62561"/>
    <w:rsid w:val="00D64582"/>
    <w:rsid w:val="00D64F8C"/>
    <w:rsid w:val="00D8451F"/>
    <w:rsid w:val="00D97964"/>
    <w:rsid w:val="00DA2238"/>
    <w:rsid w:val="00DA3969"/>
    <w:rsid w:val="00DB01F0"/>
    <w:rsid w:val="00DB742A"/>
    <w:rsid w:val="00DC3051"/>
    <w:rsid w:val="00DC317A"/>
    <w:rsid w:val="00DC6D92"/>
    <w:rsid w:val="00DD303B"/>
    <w:rsid w:val="00DD7900"/>
    <w:rsid w:val="00DF462F"/>
    <w:rsid w:val="00DF7511"/>
    <w:rsid w:val="00E01158"/>
    <w:rsid w:val="00E10473"/>
    <w:rsid w:val="00E14166"/>
    <w:rsid w:val="00E170C7"/>
    <w:rsid w:val="00E329C1"/>
    <w:rsid w:val="00E35D55"/>
    <w:rsid w:val="00E414EE"/>
    <w:rsid w:val="00E4386C"/>
    <w:rsid w:val="00E43990"/>
    <w:rsid w:val="00E5087E"/>
    <w:rsid w:val="00E50C91"/>
    <w:rsid w:val="00E51B30"/>
    <w:rsid w:val="00E52134"/>
    <w:rsid w:val="00E537D5"/>
    <w:rsid w:val="00E645C9"/>
    <w:rsid w:val="00E7320C"/>
    <w:rsid w:val="00E750CA"/>
    <w:rsid w:val="00E767EA"/>
    <w:rsid w:val="00E8150C"/>
    <w:rsid w:val="00EA66AB"/>
    <w:rsid w:val="00EB42C3"/>
    <w:rsid w:val="00EB53CC"/>
    <w:rsid w:val="00EB6A53"/>
    <w:rsid w:val="00EB6FCD"/>
    <w:rsid w:val="00EC63B7"/>
    <w:rsid w:val="00ED04F5"/>
    <w:rsid w:val="00ED0FF4"/>
    <w:rsid w:val="00ED4873"/>
    <w:rsid w:val="00ED6135"/>
    <w:rsid w:val="00EE562B"/>
    <w:rsid w:val="00EF0C2C"/>
    <w:rsid w:val="00EF1644"/>
    <w:rsid w:val="00F145B6"/>
    <w:rsid w:val="00F152A5"/>
    <w:rsid w:val="00F16847"/>
    <w:rsid w:val="00F208F8"/>
    <w:rsid w:val="00F2401D"/>
    <w:rsid w:val="00F273AF"/>
    <w:rsid w:val="00F40C27"/>
    <w:rsid w:val="00F46738"/>
    <w:rsid w:val="00F63A88"/>
    <w:rsid w:val="00F72B2A"/>
    <w:rsid w:val="00F72EAD"/>
    <w:rsid w:val="00F731DE"/>
    <w:rsid w:val="00F860F9"/>
    <w:rsid w:val="00F952E4"/>
    <w:rsid w:val="00FC3FAD"/>
    <w:rsid w:val="00FD033D"/>
    <w:rsid w:val="00FD2960"/>
    <w:rsid w:val="00FE4395"/>
    <w:rsid w:val="00FF1BC7"/>
    <w:rsid w:val="00FF5B29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2133"/>
  <w15:chartTrackingRefBased/>
  <w15:docId w15:val="{9E88BB5D-52A3-4838-9D9B-41F6962A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180"/>
    <w:pPr>
      <w:spacing w:before="120" w:after="120" w:line="360" w:lineRule="auto"/>
    </w:pPr>
    <w:rPr>
      <w:rFonts w:ascii="Cambria Math" w:hAnsi="Cambria Math"/>
      <w:sz w:val="24"/>
    </w:rPr>
  </w:style>
  <w:style w:type="paragraph" w:styleId="Heading1">
    <w:name w:val="heading 1"/>
    <w:basedOn w:val="Normal"/>
    <w:next w:val="Normal"/>
    <w:link w:val="Heading1Char"/>
    <w:qFormat/>
    <w:rsid w:val="00775E62"/>
    <w:pPr>
      <w:keepNext/>
      <w:spacing w:before="0" w:after="0" w:line="240" w:lineRule="auto"/>
      <w:jc w:val="left"/>
      <w:outlineLvl w:val="0"/>
    </w:pPr>
    <w:rPr>
      <w:rFonts w:ascii="Times New Roman" w:eastAsia="SimSun" w:hAnsi="Times New Roman" w:cs="Times New Roman"/>
      <w:b/>
      <w:bCs/>
      <w:kern w:val="32"/>
      <w:sz w:val="2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18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A13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Headline">
    <w:name w:val="Syllabus Headline"/>
    <w:basedOn w:val="IntenseQuote"/>
    <w:link w:val="SyllabusHeadlineChar"/>
    <w:qFormat/>
    <w:rsid w:val="000D597B"/>
    <w:rPr>
      <w:rFonts w:ascii="Cambria" w:hAnsi="Cambria"/>
      <w:sz w:val="30"/>
      <w:szCs w:val="30"/>
    </w:rPr>
  </w:style>
  <w:style w:type="character" w:customStyle="1" w:styleId="SyllabusHeadlineChar">
    <w:name w:val="Syllabus Headline Char"/>
    <w:basedOn w:val="IntenseQuoteChar"/>
    <w:link w:val="SyllabusHeadline"/>
    <w:rsid w:val="000D597B"/>
    <w:rPr>
      <w:rFonts w:ascii="Cambria" w:hAnsi="Cambria"/>
      <w:i/>
      <w:iCs/>
      <w:color w:val="4472C4" w:themeColor="accent1"/>
      <w:sz w:val="3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9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97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A13"/>
    <w:rPr>
      <w:rFonts w:ascii="Cambria Math" w:eastAsiaTheme="majorEastAsia" w:hAnsi="Cambria Math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75E62"/>
    <w:rPr>
      <w:rFonts w:ascii="Times New Roman" w:eastAsia="SimSun" w:hAnsi="Times New Roman" w:cs="Times New Roman"/>
      <w:b/>
      <w:bCs/>
      <w:kern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180"/>
    <w:rPr>
      <w:rFonts w:ascii="Cambria Math" w:eastAsiaTheme="majorEastAsia" w:hAnsi="Cambria Math" w:cstheme="majorBidi"/>
      <w:color w:val="2F5496" w:themeColor="accent1" w:themeShade="BF"/>
      <w:sz w:val="26"/>
      <w:szCs w:val="26"/>
    </w:rPr>
  </w:style>
  <w:style w:type="table" w:styleId="PlainTable4">
    <w:name w:val="Plain Table 4"/>
    <w:aliases w:val="AAEC Table"/>
    <w:basedOn w:val="PlainTable2"/>
    <w:uiPriority w:val="44"/>
    <w:rsid w:val="00585D82"/>
    <w:pPr>
      <w:jc w:val="left"/>
    </w:pPr>
    <w:rPr>
      <w:rFonts w:ascii="Times New Roman" w:eastAsia="SimSun" w:hAnsi="Times New Roman" w:cs="Times New Roman"/>
      <w:sz w:val="20"/>
      <w:szCs w:val="20"/>
      <w:lang w:eastAsia="en-US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  <w:shd w:val="clear" w:color="auto" w:fill="F2F2F2" w:themeFill="background1" w:themeFillShade="F2"/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85D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Classic1">
    <w:name w:val="Table Classic 1"/>
    <w:basedOn w:val="TableNormal"/>
    <w:rsid w:val="00986AA1"/>
    <w:pPr>
      <w:spacing w:after="0" w:line="240" w:lineRule="auto"/>
      <w:jc w:val="left"/>
    </w:pPr>
    <w:rPr>
      <w:rFonts w:ascii="Times New Roman" w:eastAsia="SimSun" w:hAnsi="Times New Roman" w:cs="Times New Roman"/>
      <w:sz w:val="20"/>
      <w:szCs w:val="20"/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</w:tcBorders>
        <w:shd w:val="clear" w:color="auto" w:fill="auto"/>
      </w:tcPr>
    </w:tblStylePr>
    <w:tblStylePr w:type="firstCol">
      <w:tblPr/>
      <w:tcPr>
        <w:tcBorders>
          <w:right w:val="nil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E5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410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07"/>
    <w:rPr>
      <w:rFonts w:ascii="Cambria Math" w:hAnsi="Cambria Math"/>
      <w:sz w:val="24"/>
    </w:rPr>
  </w:style>
  <w:style w:type="paragraph" w:styleId="Footer">
    <w:name w:val="footer"/>
    <w:basedOn w:val="Normal"/>
    <w:link w:val="FooterChar"/>
    <w:uiPriority w:val="99"/>
    <w:unhideWhenUsed/>
    <w:rsid w:val="001F410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107"/>
    <w:rPr>
      <w:rFonts w:ascii="Cambria Math" w:hAnsi="Cambria Math"/>
      <w:sz w:val="24"/>
    </w:rPr>
  </w:style>
  <w:style w:type="paragraph" w:styleId="ListParagraph">
    <w:name w:val="List Paragraph"/>
    <w:basedOn w:val="Normal"/>
    <w:uiPriority w:val="34"/>
    <w:qFormat/>
    <w:rsid w:val="0038614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068F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97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10</Pages>
  <Words>2009</Words>
  <Characters>10669</Characters>
  <Application>Microsoft Office Word</Application>
  <DocSecurity>0</DocSecurity>
  <Lines>323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Warm Light</dc:creator>
  <cp:keywords/>
  <dc:description/>
  <cp:lastModifiedBy>Warm Light</cp:lastModifiedBy>
  <cp:revision>444</cp:revision>
  <dcterms:created xsi:type="dcterms:W3CDTF">2019-07-12T15:44:00Z</dcterms:created>
  <dcterms:modified xsi:type="dcterms:W3CDTF">2019-07-13T12:41:00Z</dcterms:modified>
</cp:coreProperties>
</file>