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65987">
      <w:pPr>
        <w:spacing w:after="80"/>
        <w:jc w:val="center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595959"/>
          <w:sz w:val="20"/>
          <w:szCs w:val="20"/>
        </w:rPr>
        <w:t>STOCKSMEME RADAR</w:t>
      </w:r>
    </w:p>
    <w:p w14:paraId="1BB6DD85">
      <w:pPr>
        <w:spacing w:after="240"/>
        <w:jc w:val="center"/>
      </w:pPr>
      <w:r>
        <w:rPr>
          <w:rFonts w:ascii="微软雅黑" w:hAnsi="微软雅黑" w:eastAsia="微软雅黑" w:cs="微软雅黑"/>
          <w:b/>
          <w:bCs/>
          <w:sz w:val="40"/>
          <w:szCs w:val="40"/>
        </w:rPr>
        <w:t>产品需求文档 PRD v2.0</w:t>
      </w:r>
    </w:p>
    <w:tbl>
      <w:tblPr>
        <w:tblStyle w:val="11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500"/>
      </w:tblGrid>
      <w:tr w14:paraId="58C5A4E5">
        <w:trPr>
          <w:tblHeader/>
        </w:trPr>
        <w:tc>
          <w:tcPr>
            <w:tcW w:w="22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C5271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项目</w:t>
            </w:r>
          </w:p>
        </w:tc>
        <w:tc>
          <w:tcPr>
            <w:tcW w:w="7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8CE10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内容</w:t>
            </w:r>
          </w:p>
        </w:tc>
      </w:tr>
      <w:tr w14:paraId="2EFA7281"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007B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文档版本</w:t>
            </w:r>
          </w:p>
        </w:tc>
        <w:tc>
          <w:tcPr>
            <w:tcW w:w="7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26287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v2.0，用于本次 MVP 迭代的工程实现；六种关系类型、AI 叙事引擎结构等未变更的定义延续《RWA Meme Radar PRD v1.0》，不在本文重复</w:t>
            </w:r>
          </w:p>
        </w:tc>
      </w:tr>
      <w:tr w14:paraId="0A8ACFA7"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F50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关联文档</w:t>
            </w:r>
          </w:p>
        </w:tc>
        <w:tc>
          <w:tcPr>
            <w:tcW w:w="7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067F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《RWA Meme Radar PRD v1.0》《PairScope PRD v1.0》《STOCKSMEME RADAR 需求迭代清单 v2》</w:t>
            </w:r>
          </w:p>
        </w:tc>
      </w:tr>
      <w:tr w14:paraId="636AFA79"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ED851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适用阶段</w:t>
            </w:r>
          </w:p>
        </w:tc>
        <w:tc>
          <w:tcPr>
            <w:tcW w:w="7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087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OKX Dev Day 2026 黑客松，线上开发窗口 2026-09-17 至 09-25，项目提交 2026-09-25（来源：luma.com/l4aq8vii，okx.com/en-us/learn/okx-dev-day-terms）</w:t>
            </w:r>
          </w:p>
        </w:tc>
      </w:tr>
      <w:tr w14:paraId="781B5F16"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41D4D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文档范围</w:t>
            </w:r>
          </w:p>
        </w:tc>
        <w:tc>
          <w:tcPr>
            <w:tcW w:w="7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FA54F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只写产品侧逻辑：页面结构、字段定义、交互规则、验收标准。不指定技术栈，不写具体代码实现</w:t>
            </w:r>
          </w:p>
        </w:tc>
      </w:tr>
      <w:tr w14:paraId="77196724"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CA1C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更新时间</w:t>
            </w:r>
          </w:p>
        </w:tc>
        <w:tc>
          <w:tcPr>
            <w:tcW w:w="7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B2C6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2026-09-14</w:t>
            </w:r>
          </w:p>
        </w:tc>
      </w:tr>
    </w:tbl>
    <w:p w14:paraId="5835F417">
      <w:pPr>
        <w:spacing w:after="140"/>
      </w:pPr>
    </w:p>
    <w:p w14:paraId="6144E7C7">
      <w:pPr>
        <w:pStyle w:val="2"/>
        <w:pBdr>
          <w:bottom w:val="single" w:color="1F4E79" w:sz="8" w:space="4"/>
        </w:pBdr>
        <w:spacing w:before="3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一、背景与现状确认</w:t>
      </w:r>
    </w:p>
    <w:p w14:paraId="7A397776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1.1 现状核实（本次迭代的关键前提）</w:t>
      </w:r>
    </w:p>
    <w:p w14:paraId="5F002543">
      <w:pPr>
        <w:spacing w:after="130" w:line="320" w:lineRule="auto"/>
      </w:pPr>
      <w:r>
        <w:rPr>
          <w:rFonts w:ascii="微软雅黑" w:hAnsi="微软雅黑" w:eastAsia="微软雅黑" w:cs="微软雅黑"/>
        </w:rPr>
        <w:t>当前线上 MVP（cliperx.com/dashboard）经确认为整体示例或静态数据，没有接入任何真实数据源。这条事实改变了本次迭代的性质：不是在真实数据基础上修正显示问题，而是要先把数据管道从零搭建起来。前面梳理的排序、跳转、可视化等需求，全部要建立在这条真实数据管道之上，否则做出来的只是一个更好看的假数据看板，在评审时经不起追问。</w:t>
      </w:r>
    </w:p>
    <w:p w14:paraId="155860CA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1.2 现有问题归类（详细清单见《需求迭代清单 v2》，此处不重复列出）</w:t>
      </w:r>
    </w:p>
    <w:p w14:paraId="28E452AC">
      <w:pPr>
        <w:spacing w:after="130" w:line="320" w:lineRule="auto"/>
      </w:pPr>
      <w:r>
        <w:rPr>
          <w:rFonts w:ascii="微软雅黑" w:hAnsi="微软雅黑" w:eastAsia="微软雅黑" w:cs="微软雅黑"/>
        </w:rPr>
        <w:t>现有问题集中在四类：数据（数字对不上、不能实时更新）、内容（存在错误或过期信息、术语没有解释）、交互（跳转逻辑混乱、外部链接未经验证）、可视化（价差含义不清、多链视角割裂）。这四类问题里，超过一半直接由 1.1 的现状导致，解决路径见第二章。</w:t>
      </w:r>
    </w:p>
    <w:p w14:paraId="28CFF040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1.3 比赛硬约束</w:t>
      </w:r>
    </w:p>
    <w:p w14:paraId="1C71DB6E">
      <w:pPr>
        <w:spacing w:after="130" w:line="320" w:lineRule="auto"/>
      </w:pPr>
      <w:r>
        <w:rPr>
          <w:rFonts w:ascii="微软雅黑" w:hAnsi="微软雅黑" w:eastAsia="微软雅黑" w:cs="微软雅黑"/>
        </w:rPr>
        <w:t>开发窗口 2026-09-17 至 09-25，共 9 天；提交节点 09-25；官方免责声明写明会参考链上数据（来源：okx.com/en-us/learn/okx-dev-day-terms）。9 天时间如果继续在假数据上堆功能，评审时的链上数据核查这一项会直接失分。</w:t>
      </w:r>
    </w:p>
    <w:p w14:paraId="38534E0C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1.4 本次迭代目标</w:t>
      </w:r>
    </w:p>
    <w:p w14:paraId="57E4BF17">
      <w:pPr>
        <w:spacing w:after="130" w:line="320" w:lineRule="auto"/>
      </w:pPr>
      <w:r>
        <w:rPr>
          <w:rFonts w:ascii="微软雅黑" w:hAnsi="微软雅黑" w:eastAsia="微软雅黑" w:cs="微软雅黑"/>
        </w:rPr>
        <w:t>把产品从概念验证阶段推进到真实数据驱动阶段，同时完成前述四类问题的产品设计修正。真实数据管道的搭建是本次所有其他需求的前提，具体方案见第二章。</w:t>
      </w:r>
    </w:p>
    <w:p w14:paraId="7ABA968A">
      <w:pPr>
        <w:pStyle w:val="2"/>
        <w:pBdr>
          <w:bottom w:val="single" w:color="1F4E79" w:sz="8" w:space="4"/>
        </w:pBdr>
        <w:spacing w:before="3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二、数据源与接口方案</w:t>
      </w:r>
    </w:p>
    <w:p w14:paraId="7F4F554E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2.1 选型结论</w:t>
      </w:r>
    </w:p>
    <w:p w14:paraId="5804BAB5">
      <w:pPr>
        <w:spacing w:after="130" w:line="320" w:lineRule="auto"/>
      </w:pPr>
      <w:r>
        <w:rPr>
          <w:rFonts w:ascii="微软雅黑" w:hAnsi="微软雅黑" w:eastAsia="微软雅黑" w:cs="微软雅黑"/>
        </w:rPr>
        <w:t>统一采用 OKX OnchainOS Market API 作为主数据源。官方定位为面向多链的 Restful 接口与实时 WebSocket 通道，覆盖代币价格、成交、持仓、流动性等数据（来源：web3.okx.com/onchainos/dev-docs/market/market-api-introduction）。官方支持链清单确认 X Layer（chainIndex 196）、BNB Chain（56）、Robinhood（4663）三条链的 Market 能力均已支持，Arc（5042）同样已在支持列表中（来源：web3.okx.com/onchainos/dev-docs/home/supported-chain，2026-09-14 查证）。这意味着多链平权展示和 ARC 的后续接入，在数据源层面不需要为每条链单独找数据源，只是同一套接口换一个 chainIndex 参数。</w:t>
      </w:r>
    </w:p>
    <w:p w14:paraId="5BF9A334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2.2 功能到接口的映射</w:t>
      </w:r>
    </w:p>
    <w:tbl>
      <w:tblPr>
        <w:tblStyle w:val="11"/>
        <w:tblW w:w="8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600"/>
        <w:gridCol w:w="4200"/>
      </w:tblGrid>
      <w:tr w14:paraId="59C2750C">
        <w:trPr>
          <w:tblHeader/>
        </w:trPr>
        <w:tc>
          <w:tcPr>
            <w:tcW w:w="19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57239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功能点</w:t>
            </w:r>
          </w:p>
        </w:tc>
        <w:tc>
          <w:tcPr>
            <w:tcW w:w="2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1A8A2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使用接口</w:t>
            </w:r>
          </w:p>
        </w:tc>
        <w:tc>
          <w:tcPr>
            <w:tcW w:w="42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0C06B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关键字段</w:t>
            </w:r>
          </w:p>
        </w:tc>
      </w:tr>
      <w:tr w14:paraId="662F71D4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14925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资产列表与行业分类筛选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8DC09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Get RWA Token List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01539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tokenSymbol / stockCode / tokenName / chainIndex / issuer / logoUrl / price / priceChange24H / marketCap / volume24h / stockPrice / stockPriceChange24H；自带 9 个行业分类与 issuer 过滤</w:t>
            </w:r>
          </w:p>
        </w:tc>
      </w:tr>
      <w:tr w14:paraId="34D9943B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9584D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代币基础信息与头像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7A041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Token Basic Information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7E17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tokenName / tokenSymbol / tokenLogoUrl / decimal / communityRecognized</w:t>
            </w:r>
          </w:p>
        </w:tc>
      </w:tr>
      <w:tr w14:paraId="4D6F9BB9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227E8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行情与涨跌幅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736DF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Token Trading Information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4B69A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price / priceChange5M·1H·4H·24H / volume5M·1H·4H·24H / holders / liquidity / marketCap</w:t>
            </w:r>
          </w:p>
        </w:tc>
      </w:tr>
      <w:tr w14:paraId="58EE00B9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FA35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配对池结构（LP 维度）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BF73E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Token Liquidity Pool Information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EA06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pool / protocolName / liquidityUsd / liquidityAmount（含 token 构成）/ liquidityProviderFeePercent / poolAddress / poolCreator</w:t>
            </w:r>
          </w:p>
        </w:tc>
      </w:tr>
      <w:tr w14:paraId="29F61079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973C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持仓分布（筹码分布）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3239A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Token Holder Information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18DF4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holdPercent / holderWalletAddress / fundingSource，前 100 名地址</w:t>
            </w:r>
          </w:p>
        </w:tc>
      </w:tr>
      <w:tr w14:paraId="4D2B30C1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2DCC6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股票背景补充信息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1304A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Token Advanced Information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2BCA4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stockProfile（companyName / industry / stockType / exchange / listingDate）、tokenTags</w:t>
            </w:r>
          </w:p>
        </w:tc>
      </w:tr>
    </w:tbl>
    <w:p w14:paraId="608F58AA">
      <w:pPr>
        <w:spacing w:after="130" w:line="320" w:lineRule="auto"/>
      </w:pPr>
      <w:r>
        <w:rPr>
          <w:rFonts w:ascii="微软雅黑" w:hAnsi="微软雅黑" w:eastAsia="微软雅黑" w:cs="微软雅黑"/>
        </w:rPr>
        <w:t>以上接口地址均以 web3.okx.com/onchainos/dev-docs/market/ 为前缀，具体路径与官方文档一致，本文不重复列出完整 URL 与请求示例，避免与技术实现文档重复。</w:t>
      </w:r>
    </w:p>
    <w:p w14:paraId="5B6AC394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2.3 已确认的关键参数（直接决定验收标准）</w:t>
      </w:r>
    </w:p>
    <w:p w14:paraId="7F917F88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stockPrice 字段官方更新频率为每 15 秒一次，非交易时段返回最近收盘价（来源：market-rwa-token 官方文档）。股票现货价格字段的刷新间隔按 15 秒设计，这是官方给定的上限，不需要也做不到比这更快。</w:t>
      </w:r>
    </w:p>
    <w:p w14:paraId="2C6D4C0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Token Holder Information 单次最多返回前 100 名持仓地址，不支持深度分页（来源：market-token-holder 官方文档）。筹码分布类展示按前 100 名地址设计，不追求全量持仓画像。</w:t>
      </w:r>
    </w:p>
    <w:p w14:paraId="338107B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Token Liquidity Pool Information 单次最多返回该代币的前 5 个主要流动性池（来源：market-token-top-liquidity 官方文档）。池子数量展示上限为 5，超过 5 个池子的代币只展示流动性最高的 5 个。</w:t>
      </w:r>
    </w:p>
    <w:p w14:paraId="3A8921BD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2.4 需要研发在开发窗口前 2 天验证的事项</w:t>
      </w:r>
    </w:p>
    <w:p w14:paraId="399DDC06">
      <w:pPr>
        <w:spacing w:after="130" w:line="320" w:lineRule="auto"/>
      </w:pPr>
      <w:r>
        <w:rPr>
          <w:rFonts w:ascii="微软雅黑" w:hAnsi="微软雅黑" w:eastAsia="微软雅黑" w:cs="微软雅黑"/>
        </w:rPr>
        <w:t>以下三项不是产品能替研发拍板的内容，需要研发实测后回填结果，结果会影响第五章的排期安排。</w:t>
      </w:r>
    </w:p>
    <w:p w14:paraId="46C8C64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Holder Cluster 聚类分析系列接口（Get Token Holding Cluster Overview 等）具体支持哪些链，官方文档没有列出完整清单，需要调用 Get Cluster Supported Chain 接口实测确认（web3.okx.com/onchainos/dev-docs/market/market-token-cluster-supported-chain）。如果 Robinhood Chain 或 BNB Chain 不在支持范围内，筹码分布展示退化为直接使用 Token Holder Information 的 holdPercent 字段计算前十地址占比，不依赖聚类功能，产品目标不受影响。</w:t>
      </w:r>
    </w:p>
    <w:p w14:paraId="51F47944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Robinhood Chain（4663）和 BNB Chain（56）上具体的 meme 代币合约地址是否已经被 OKX Token API 索引到，需要用几个已知的真实合约地址（例如《整体思路》文档中提到的 BONER / HIMS）抽样调用 Token Basic Information 验证，不能假设全量索引。</w:t>
      </w:r>
    </w:p>
    <w:p w14:paraId="6252462E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OKX App Universal Link 机制（okx://wallet/dapp/url?dappUrl=编码后的目标网址）可以把用户从产品页面唤起到 OKX App 内打开指定网页（来源：web3.okx.com/build/docs/waas/app-universal-link）。产品侧“跳转 OKX”的入口需要先确定目标网页是什么（例如 OKX DEX 上该资产的交易页面），这个目标网页地址由研发确认后回填，产品侧的要求只有一条：点击后用户能在 OKX 环境里看到这个资产的交易页面。</w:t>
      </w:r>
    </w:p>
    <w:p w14:paraId="48B15968">
      <w:pPr>
        <w:pStyle w:val="2"/>
        <w:pBdr>
          <w:bottom w:val="single" w:color="1F4E79" w:sz="8" w:space="4"/>
        </w:pBdr>
        <w:spacing w:before="3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三、功能需求详述</w:t>
      </w:r>
    </w:p>
    <w:p w14:paraId="024013AA">
      <w:pPr>
        <w:spacing w:after="130" w:line="320" w:lineRule="auto"/>
      </w:pPr>
      <w:r>
        <w:rPr>
          <w:rFonts w:ascii="微软雅黑" w:hAnsi="微软雅黑" w:eastAsia="微软雅黑" w:cs="微软雅黑"/>
        </w:rPr>
        <w:t>以下按页面与能力模块编号（FR2-A 至 FR2-I），每条给出功能描述、字段来源、交互规则、验收标准。编号与《需求迭代清单 v2》中的 U2 系列一一对应，具体对应关系见第七章。</w:t>
      </w:r>
    </w:p>
    <w:p w14:paraId="642B5F92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模块 A　全局能力（跨页面）</w:t>
      </w:r>
    </w:p>
    <w:p w14:paraId="3B36FC83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FR2-A1　真实数据管道与刷新状态</w:t>
      </w:r>
    </w:p>
    <w:p w14:paraId="49D792D0">
      <w:pPr>
        <w:spacing w:after="130" w:line="320" w:lineRule="auto"/>
      </w:pPr>
      <w:r>
        <w:rPr>
          <w:rFonts w:ascii="微软雅黑" w:hAnsi="微软雅黑" w:eastAsia="微软雅黑" w:cs="微软雅黑"/>
        </w:rPr>
        <w:t>全站所有价格、成交量、持仓等字段直接调用第二章列出的 OKX 接口获取，不使用示例数据兜底。</w:t>
      </w:r>
    </w:p>
    <w:p w14:paraId="153B6106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刷新频率：价格 / 涨跌幅 / 成交量类字段不超过 1 分钟刷新一次；股票现货价格按官方 15 秒节奏同步；持仓与流动性池结构类字段 5 到 10 分钟刷新一次，这类数据变化本身较慢。</w:t>
      </w:r>
    </w:p>
    <w:p w14:paraId="6154650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异常处理：接口调用失败或返回空数据时，对应字段位置显示“数据获取中”或“暂无数据”，不允许用上一次成功获取的数据在不标注时间的情况下继续展示；超过 10 分钟未成功刷新的字段额外标红时间戳。</w:t>
      </w:r>
    </w:p>
    <w:p w14:paraId="241EA1EF">
      <w:pPr>
        <w:spacing w:after="130" w:line="320" w:lineRule="auto"/>
      </w:pPr>
      <w:r>
        <w:rPr>
          <w:rFonts w:ascii="微软雅黑" w:hAnsi="微软雅黑" w:eastAsia="微软雅黑" w:cs="微软雅黑"/>
        </w:rPr>
        <w:t>验收标准：每个页面可见一个数据更新时间戳；断网重连后 10 分钟内能观察到至少一次真实刷新；人为制造单个接口报错场景，页面正确显示异常状态而不是崩溃或展示旧数据。</w:t>
      </w:r>
    </w:p>
    <w:p w14:paraId="4BEBA306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FR2-A2　排序与筛选组件</w:t>
      </w:r>
    </w:p>
    <w:p w14:paraId="3F71061E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排序维度：24 小时成交量（volume24H）、24 小时涨跌幅（priceChange24H）、市值（marketCap）、持仓地址数（holders），四项直接取自已有字段；Stock Flow 净流入、热度指数为产品自定义指标，取数逻辑沿用《整体思路的考虑和描述》里的定义，本文不重复。</w:t>
      </w:r>
    </w:p>
    <w:p w14:paraId="4EFC15FE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筛选维度：按链（chainIndex，含 ARC 灰态选项）、按行业分类（复用 Get RWA Token List 自带的 9 个分类）、按发行方（issuer 字段，非 OKX 原生发行方需要产品侧补充映射表）、按关系类型（六种，沿用 v1.0 PRD 定义）。</w:t>
      </w:r>
    </w:p>
    <w:p w14:paraId="312624D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交互规则：排序单选，筛选多选，两者独立作用于同一份列表；默认不筛选时展示全部已上线链的聚合视图；切换后 URL 参数同步更新，支持分享和刷新后保留状态。</w:t>
      </w:r>
    </w:p>
    <w:p w14:paraId="00D5FA7B">
      <w:pPr>
        <w:spacing w:after="130" w:line="320" w:lineRule="auto"/>
      </w:pPr>
      <w:r>
        <w:rPr>
          <w:rFonts w:ascii="微软雅黑" w:hAnsi="微软雅黑" w:eastAsia="微软雅黑" w:cs="微软雅黑"/>
        </w:rPr>
        <w:t>验收标准：任选 5 组排序与筛选的组合，人工核对返回结果与该组合下字段的真实排序或过滤结果一致。</w:t>
      </w:r>
    </w:p>
    <w:p w14:paraId="2589ACAE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FR2-A3　术语说明组件</w:t>
      </w:r>
    </w:p>
    <w:p w14:paraId="0A9D8B4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覆盖范围：六种关系类型标签、Stock Flow、热度指数、链上溢价（见模块 F）、联动系数、股票捕获率、三层资产标签（股票现货 / 股票代币 / Meme）。</w:t>
      </w:r>
    </w:p>
    <w:p w14:paraId="56461E4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交互：桌面端 hover 弹出说明气泡，移动端点击弹出，再次点击或点击气泡外区域关闭。</w:t>
      </w:r>
    </w:p>
    <w:p w14:paraId="25DBD17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内容结构：定义（一句话）、计算口径（一句话，如有）、数据来源或更新频率（一句话），三项固定顺序。</w:t>
      </w:r>
    </w:p>
    <w:p w14:paraId="734B728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维护方式：所有说明文案集中维护为一份术语表（术语 ID、中文文案、英文文案三列），页面引用术语 ID 渲染，不在各页面分别写死文案。</w:t>
      </w:r>
    </w:p>
    <w:p w14:paraId="6B309A74">
      <w:pPr>
        <w:spacing w:after="130" w:line="320" w:lineRule="auto"/>
      </w:pPr>
      <w:r>
        <w:rPr>
          <w:rFonts w:ascii="微软雅黑" w:hAnsi="微软雅黑" w:eastAsia="微软雅黑" w:cs="微软雅黑"/>
        </w:rPr>
        <w:t>验收标准：全站过一遍所有指标类文字，确认每处都能触发说明气泡，且中英文切换后气泡内容同步切换。</w:t>
      </w:r>
    </w:p>
    <w:p w14:paraId="5D731326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FR2-A4　双语一致性</w:t>
      </w:r>
    </w:p>
    <w:p w14:paraId="488C0779">
      <w:pPr>
        <w:spacing w:after="130" w:line="320" w:lineRule="auto"/>
      </w:pPr>
      <w:r>
        <w:rPr>
          <w:rFonts w:ascii="微软雅黑" w:hAnsi="微软雅黑" w:eastAsia="微软雅黑" w:cs="微软雅黑"/>
        </w:rPr>
        <w:t>沿用现有中 / EN 切换入口。补充要求：术语说明、关系类型标签、排序筛选选项文案、页面空态与异常提示文案，四类内容必须在文案表里同时维护中英文版本，不允许切换语言后出现半中半英。验收标准：切换到英文后全站检查一遍，重点核对异常提示和 tooltip 这两类容易被遗漏的位置。</w:t>
      </w:r>
    </w:p>
    <w:p w14:paraId="65983AB6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FR2-A5　跳转规则总纲</w:t>
      </w:r>
    </w:p>
    <w:p w14:paraId="20CE036A">
      <w:pPr>
        <w:spacing w:after="130" w:line="320" w:lineRule="auto"/>
      </w:pPr>
      <w:r>
        <w:rPr>
          <w:rFonts w:ascii="微软雅黑" w:hAnsi="微软雅黑" w:eastAsia="微软雅黑" w:cs="微软雅黑"/>
        </w:rPr>
        <w:t>沿用 meme→Meme Detail、股票 / CA 码→Stock Radar、具体配对→配对分析页三条规则，新增第四条：跳转 OKX 相关入口时，使用 OKX 官方 App Universal Link 机制唤起 OKX App 并打开目标资产的交易页面，目标交易页面的具体地址由研发按 2.4 节确认后回填；桌面端或未安装 OKX App 的场景，跳转到 web3.okx.com 对应资产的网页版页面，不出现唤端失败后的空白页。验收标准：制作全站跳转入口清单（入口名称、预期落地页、实测结果三列），提交前逐条核对，标红未通过项。</w:t>
      </w:r>
    </w:p>
    <w:p w14:paraId="589FB34F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模块 B　Overview 总览（新增页面）</w:t>
      </w:r>
    </w:p>
    <w:p w14:paraId="2A18B3EC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FR2-B1　多链聚合统计卡</w:t>
      </w:r>
    </w:p>
    <w:p w14:paraId="2AA67772">
      <w:pPr>
        <w:spacing w:after="130" w:line="320" w:lineRule="auto"/>
      </w:pPr>
      <w:r>
        <w:rPr>
          <w:rFonts w:ascii="微软雅黑" w:hAnsi="微软雅黑" w:eastAsia="微软雅黑" w:cs="微软雅黑"/>
        </w:rPr>
        <w:t>按链分组的柱状图，展示每条链的资产数量（按 chainIndex 分组计数）、24 小时合计成交量（volume24h 累加）、合计流动性（liquidityUsd 累加）。ARC 因主网未上线，三项数值显示为“即将上线”而不是 0，区分“暂无数据”与“真实为零”两种状态。验收标准：切换到任意已上线链，三项统计数字与该链下全部资产的真实字段加总一致。</w:t>
      </w:r>
    </w:p>
    <w:p w14:paraId="47A332CE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FR2-B2　行业主题分布饼图</w:t>
      </w:r>
    </w:p>
    <w:p w14:paraId="19F43CEE">
      <w:pPr>
        <w:spacing w:after="130" w:line="320" w:lineRule="auto"/>
      </w:pPr>
      <w:r>
        <w:rPr>
          <w:rFonts w:ascii="微软雅黑" w:hAnsi="微软雅黑" w:eastAsia="微软雅黑" w:cs="微软雅黑"/>
        </w:rPr>
        <w:t>按 Get RWA Token List 自带的 9 个分类分组，展示各分类下资产数量占比或市值占比，用户可切换两种口径。验收标准：各分类占比之和为 100%，切换口径后数字联动更新。</w:t>
      </w:r>
    </w:p>
    <w:p w14:paraId="242E63CE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FR2-B3　跨链热度排行榜</w:t>
      </w:r>
    </w:p>
    <w:p w14:paraId="7DBC8BD9">
      <w:pPr>
        <w:spacing w:after="130" w:line="320" w:lineRule="auto"/>
      </w:pPr>
      <w:r>
        <w:rPr>
          <w:rFonts w:ascii="微软雅黑" w:hAnsi="微软雅黑" w:eastAsia="微软雅黑" w:cs="微软雅黑"/>
        </w:rPr>
        <w:t>合并全部已上线链的资产，按热度指数排序取前 20，每条记录标注所在链的图标，避免因为分链查看而遗漏真正热门的资产。验收标准：将某条链单独筛选出的热度前 5 与总榜对照，确认这 5 个如果分数足够高应出现在总榜里。</w:t>
      </w:r>
    </w:p>
    <w:p w14:paraId="03EEB909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模块 C　Live Radar（首页事件流）</w:t>
      </w:r>
    </w:p>
    <w:p w14:paraId="5D4B2655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FR2-C1　真实事件流</w:t>
      </w:r>
    </w:p>
    <w:p w14:paraId="0F5045D5">
      <w:pPr>
        <w:spacing w:after="130" w:line="320" w:lineRule="auto"/>
      </w:pPr>
      <w:r>
        <w:rPr>
          <w:rFonts w:ascii="微软雅黑" w:hAnsi="微软雅黑" w:eastAsia="微软雅黑" w:cs="微软雅黑"/>
        </w:rPr>
        <w:t>沿用 v1.0 PRD 中全链聚合、可按链筛选、字段包含时间与事件类型与涉及资产与一句话说明、持续刷新这几条定义，本次调整为：事件来源从真实成交与持仓变动数据产出，不再是静态示例记录。三类事件（新配对出现、关系确认、资金异动）的具体触发阈值由研发基于真实数据的波动幅度提出，产品侧的要求是这三类事件在页面上有清晰的视觉区分。验收标准：停留页面 10 分钟以上，能看到至少一条随真实数据变化产生的新记录，且该记录能在 Meme Detail 或 Stock Radar 页面找到同样的数据支撑。</w:t>
      </w:r>
    </w:p>
    <w:p w14:paraId="3E265149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模块 D　Meme Radar（列表页）</w:t>
      </w:r>
    </w:p>
    <w:p w14:paraId="291C32C4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FR2-D1　列表字段与整合</w:t>
      </w:r>
    </w:p>
    <w:p w14:paraId="6627A9A2">
      <w:pPr>
        <w:spacing w:after="130" w:line="320" w:lineRule="auto"/>
      </w:pPr>
      <w:r>
        <w:rPr>
          <w:rFonts w:ascii="微软雅黑" w:hAnsi="微软雅黑" w:eastAsia="微软雅黑" w:cs="微软雅黑"/>
        </w:rPr>
        <w:t>字段清单：币名、头像（tokenLogoUrl）、所在链、关联股票、关系类型标签、代币年龄（如数据源不支持精确上线时间，用“首次被本产品识别到的时间”代替并在术语说明里注明区别）、市值、成交量（5 分钟 / 1 小时 / 24 小时）、流动性、持有人数、Stock Flow。排序筛选接入 FR2-A2 的全站组件，不单独做一套。验收标准：抽查 10 条记录，逐字段核对来源接口返回值与页面显示值一致。</w:t>
      </w:r>
    </w:p>
    <w:p w14:paraId="54907F15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模块 E　Stock Radar（信息架构重设计）</w:t>
      </w:r>
    </w:p>
    <w:p w14:paraId="585C1DC6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FR2-E1　三层股票模型页面结构</w:t>
      </w:r>
    </w:p>
    <w:p w14:paraId="031D797C">
      <w:pPr>
        <w:spacing w:after="130" w:line="320" w:lineRule="auto"/>
      </w:pPr>
      <w:r>
        <w:rPr>
          <w:rFonts w:ascii="微软雅黑" w:hAnsi="微软雅黑" w:eastAsia="微软雅黑" w:cs="微软雅黑"/>
        </w:rPr>
        <w:t>沿用 v1.0 PRD 的三层模型：标的股票 → 链上代表 → 关联 meme。页面顶部展示该标的股票在各链的链上代表清单：X Layer、Robinhood Chain、BNB Chain 各自的股票代币版本（如果存在），标注链名称、代币符号、合约地址、当前价格与相对股票现货价格的偏离。若某条链不存在该股票的代币化版本，对应位置显示“该链暂无此股票的代币化版本”，不隐藏这一行，让用户清楚覆盖边界。验收标准：随机选 3 只在多条链都有代币化版本的股票（如 NVDA），页面能同时展示这几个版本且数据不串。</w:t>
      </w:r>
    </w:p>
    <w:p w14:paraId="2A27F254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FR2-E2　关联 meme 展开列表</w:t>
      </w:r>
    </w:p>
    <w:p w14:paraId="1C2575C8">
      <w:pPr>
        <w:spacing w:after="130" w:line="320" w:lineRule="auto"/>
      </w:pPr>
      <w:r>
        <w:rPr>
          <w:rFonts w:ascii="微软雅黑" w:hAnsi="微软雅黑" w:eastAsia="微软雅黑" w:cs="微软雅黑"/>
        </w:rPr>
        <w:t>每个链上代表下方展开该代币关联的 meme 列表，字段包括名称、头像、关系类型、市值、24 小时成交量、流动性、Stock Flow，用表格或卡片分组；不同链上代表的 meme 列表互相独立展示，不合并成一个大列表。验收标准：任选一只股票，展开各链关联 meme 列表，确认每个 meme 只出现在其真实所属的链上代表下面。</w:t>
      </w:r>
    </w:p>
    <w:p w14:paraId="25D18B09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模块 F　Meme Detail</w:t>
      </w:r>
    </w:p>
    <w:p w14:paraId="7D2EAEA7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FR2-F1　三层价差体系</w:t>
      </w:r>
    </w:p>
    <w:p w14:paraId="6C98F0C6">
      <w:pPr>
        <w:spacing w:after="130" w:line="320" w:lineRule="auto"/>
      </w:pPr>
      <w:r>
        <w:rPr>
          <w:rFonts w:ascii="微软雅黑" w:hAnsi="微软雅黑" w:eastAsia="微软雅黑" w:cs="微软雅黑"/>
        </w:rPr>
        <w:t>定义：股票现货价格（stockPrice）、股票代币价格（price，即链上预言机或场内报价）、链上溢价（(price - stockPrice) / stockPrice，对应 v1.0 与 PairScope PRD 中已定义的 OCP 指标，本次不重新定义公式，只调整展示形式）。</w:t>
      </w:r>
    </w:p>
    <w:p w14:paraId="0708492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展示：三个数字并排展示并标注各自含义；链上溢价额外做一条时间趋势折线图，横轴时间纵轴溢价百分比，标注统计窗口（建议 24 小时）。</w:t>
      </w:r>
    </w:p>
    <w:p w14:paraId="1ED2CB5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与已有指标的关系：联动系数（价格走势相关性）和股票捕获率（流动性占用比例）是另外两个维度，分区展示，不与三层价差混在同一个图表里，避免用户把三个不同维度的数字混为一谈。</w:t>
      </w:r>
    </w:p>
    <w:p w14:paraId="24AD7F4D">
      <w:pPr>
        <w:spacing w:after="130" w:line="320" w:lineRule="auto"/>
      </w:pPr>
      <w:r>
        <w:rPr>
          <w:rFonts w:ascii="微软雅黑" w:hAnsi="微软雅黑" w:eastAsia="微软雅黑" w:cs="微软雅黑"/>
        </w:rPr>
        <w:t>验收标准：选一个已知有真实配对关系的 meme，用 stockPrice 和 price 两个原始字段人工计算一遍溢价百分比，与页面展示数字一致。</w:t>
      </w:r>
    </w:p>
    <w:p w14:paraId="1546A5FA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FR2-F2　头像与标签</w:t>
      </w:r>
    </w:p>
    <w:p w14:paraId="05CB7DC1">
      <w:pPr>
        <w:spacing w:after="130" w:line="320" w:lineRule="auto"/>
      </w:pPr>
      <w:r>
        <w:rPr>
          <w:rFonts w:ascii="微软雅黑" w:hAnsi="微软雅黑" w:eastAsia="微软雅黑" w:cs="微软雅黑"/>
        </w:rPr>
        <w:t>meme 头像取 tokenLogoUrl 字段，缺失时显示统一的默认占位图标而不是空白。验收标准：抽查 20 个 meme 记录，头像加载成功率与接口实际返回 tokenLogoUrl 的比例一致。</w:t>
      </w:r>
    </w:p>
    <w:p w14:paraId="2746F094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模块 G　配对分析页（新增独立页面）</w:t>
      </w:r>
    </w:p>
    <w:p w14:paraId="6EC80BCD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FR2-G1　页面结构</w:t>
      </w:r>
    </w:p>
    <w:p w14:paraId="5D945581">
      <w:pPr>
        <w:spacing w:after="130" w:line="320" w:lineRule="auto"/>
      </w:pPr>
      <w:r>
        <w:rPr>
          <w:rFonts w:ascii="微软雅黑" w:hAnsi="微软雅黑" w:eastAsia="微软雅黑" w:cs="微软雅黑"/>
        </w:rPr>
        <w:t>入口：股票 CA 码、具体配对记录点击后跳转至此，页面标题明确标注“股票代币”层级和具体配对的 meme 名称。</w:t>
      </w:r>
    </w:p>
    <w:p w14:paraId="3E409246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内容：该股票代币关联的全部 meme 配对列表，每行并排展示三项——价差（FR2-F1 定义的链上溢价，趋势折线图缩略版）、热度指数（横向条形图）、筹码分布（前十地址占比，来自 holdPercent 汇总，用堆叠条形图展示“前十地址”与“其余地址”两段）。</w:t>
      </w:r>
    </w:p>
    <w:p w14:paraId="75151C2E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排序：默认按热度指数排序，用户可切换按价差绝对值或按筹码集中度排序。</w:t>
      </w:r>
    </w:p>
    <w:p w14:paraId="40066876">
      <w:pPr>
        <w:spacing w:after="130" w:line="320" w:lineRule="auto"/>
      </w:pPr>
      <w:r>
        <w:rPr>
          <w:rFonts w:ascii="微软雅黑" w:hAnsi="微软雅黑" w:eastAsia="微软雅黑" w:cs="微软雅黑"/>
        </w:rPr>
        <w:t>验收标准：选一只股票，验证列表里每个配对的三项数字都能在 Meme Detail 页找到对应的原始数据支撑。</w:t>
      </w:r>
    </w:p>
    <w:p w14:paraId="599D3D25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模块 H　筹码与 LP 结构（横切能力）</w:t>
      </w:r>
    </w:p>
    <w:p w14:paraId="6E6CC9B1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FR2-H1　筹码分布字段与可视化</w:t>
      </w:r>
    </w:p>
    <w:p w14:paraId="6853844E">
      <w:pPr>
        <w:spacing w:after="130" w:line="320" w:lineRule="auto"/>
      </w:pPr>
      <w:r>
        <w:rPr>
          <w:rFonts w:ascii="微软雅黑" w:hAnsi="微软雅黑" w:eastAsia="微软雅黑" w:cs="微软雅黑"/>
        </w:rPr>
        <w:t>数据来源：Token Holder Information 的 holdPercent 字段，取前十名地址占比之和作为集中度指标，取前 100 名地址的 holdPercent 分布做直方图（可选，作为详情页补充可视化，非 P0）。展示位置：配对分析页核心位置，Meme Detail 页作为次级信息。验收标准：前十地址占比之和与接口返回的前十条 holdPercent 字段加总一致。</w:t>
      </w:r>
    </w:p>
    <w:p w14:paraId="53307731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FR2-H2　LP 结构字段与可视化</w:t>
      </w:r>
    </w:p>
    <w:p w14:paraId="404296D0">
      <w:pPr>
        <w:spacing w:after="130" w:line="320" w:lineRule="auto"/>
      </w:pPr>
      <w:r>
        <w:rPr>
          <w:rFonts w:ascii="微软雅黑" w:hAnsi="微软雅黑" w:eastAsia="微软雅黑" w:cs="微软雅黑"/>
        </w:rPr>
        <w:t>数据来源：Token Liquidity Pool Information，单次最多返回该代币前 5 个主要流动性池。</w:t>
      </w:r>
    </w:p>
    <w:p w14:paraId="02B2667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字段：交易对构成（pool 字段，如 BONER/HIMS）、池子规模（liquidityUsd）、池子数量（返回记录条数，上限 5）、协议名称（protocolName）、手续费率（liquidityProviderFeePercent）。</w:t>
      </w:r>
    </w:p>
    <w:p w14:paraId="5B2D759E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LP 收益说明：接口不直接提供历史收益率，页面并列展示手续费率和 24 小时成交量两个字段，并标注“实际收益率取决于成交活跃度，此处展示的是费率参考”，不做精确收益率计算或预测。</w:t>
      </w:r>
    </w:p>
    <w:p w14:paraId="37925B23">
      <w:pPr>
        <w:spacing w:after="130" w:line="320" w:lineRule="auto"/>
      </w:pPr>
      <w:r>
        <w:rPr>
          <w:rFonts w:ascii="微软雅黑" w:hAnsi="微软雅黑" w:eastAsia="微软雅黑" w:cs="微软雅黑"/>
        </w:rPr>
        <w:t>展示位置：配对分析页和 Meme Detail 页，服务于“是否要做 LP”这个决策场景；价格和成交额类字段作为次要信息保留，不做视觉重点。验收标准：选一个已知有多个池子的代币，页面展示的池子数量、构成和规模与接口返回条数和字段一致。</w:t>
      </w:r>
    </w:p>
    <w:p w14:paraId="7D187B5C">
      <w:pPr>
        <w:pStyle w:val="3"/>
        <w:spacing w:before="280" w:after="110"/>
      </w:pPr>
      <w:r>
        <w:rPr>
          <w:rFonts w:ascii="微软雅黑" w:hAnsi="微软雅黑" w:eastAsia="微软雅黑" w:cs="微软雅黑"/>
          <w:b/>
          <w:bCs/>
          <w:color w:val="2E75B6"/>
          <w:sz w:val="25"/>
          <w:szCs w:val="25"/>
        </w:rPr>
        <w:t>模块 I　ARC 占位</w:t>
      </w:r>
    </w:p>
    <w:p w14:paraId="2B7500CE">
      <w:pPr>
        <w:spacing w:before="200" w:after="7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FR2-I1　筛选器灰态选项 + 独立 Coming Soon 页</w:t>
      </w:r>
    </w:p>
    <w:p w14:paraId="3A58C3F8">
      <w:pPr>
        <w:spacing w:after="130" w:line="320" w:lineRule="auto"/>
      </w:pPr>
      <w:r>
        <w:rPr>
          <w:rFonts w:ascii="微软雅黑" w:hAnsi="微软雅黑" w:eastAsia="微软雅黑" w:cs="微软雅黑"/>
        </w:rPr>
        <w:t>背景事实：Circle Arc 公有主网定于 2026 年 9 月 16 日上线，验证者包含贝莱德、DTCC、Visa 等机构，Gas 以 USDC 计价（来源：circle.com/pressroom，2026-08-05 新闻稿）。OKX OnchainOS Market API 的支持链清单已经列出 Arc（chainIndex 5042）为已支持状态（来源：web3.okx.com/onchainos/dev-docs/home/supported-chain，2026-09-14 查证），意味着一旦 Arc 上出现真实的股票代币或 meme 配对，产品侧只需要把 chainIndex 参数换成 5042，不需要新增数据源。</w:t>
      </w:r>
    </w:p>
    <w:p w14:paraId="35C9766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链筛选器中 ARC 作为一个选项存在，视觉上用灰态区分，点击后跳转至独立的 Coming Soon 页面，而不是直接过滤出一个空列表。</w:t>
      </w:r>
    </w:p>
    <w:p w14:paraId="2319481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Coming Soon 页面内容：主网上线时间、Arc 定位一句话说明、“数据接入已就绪，主网上线后自动收录”的状态说明、返回主流程的入口。</w:t>
      </w:r>
    </w:p>
    <w:p w14:paraId="0AAF2C6D">
      <w:pPr>
        <w:spacing w:after="130" w:line="320" w:lineRule="auto"/>
      </w:pPr>
      <w:r>
        <w:rPr>
          <w:rFonts w:ascii="微软雅黑" w:hAnsi="微软雅黑" w:eastAsia="微软雅黑" w:cs="微软雅黑"/>
        </w:rPr>
        <w:t>验收标准：点击 ARC 选项能正确跳转到 Coming Soon 页而不是报错或空白；页面上的上线日期与官方公告一致。</w:t>
      </w:r>
    </w:p>
    <w:p w14:paraId="5245FEEE">
      <w:pPr>
        <w:pStyle w:val="2"/>
        <w:pBdr>
          <w:bottom w:val="single" w:color="1F4E79" w:sz="8" w:space="4"/>
        </w:pBdr>
        <w:spacing w:before="3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四、页面信息架构总览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3000"/>
        <w:gridCol w:w="2400"/>
      </w:tblGrid>
      <w:tr w14:paraId="51B20EE1">
        <w:trPr>
          <w:tblHeader/>
        </w:trPr>
        <w:tc>
          <w:tcPr>
            <w:tcW w:w="1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C6343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页面</w:t>
            </w:r>
          </w:p>
        </w:tc>
        <w:tc>
          <w:tcPr>
            <w:tcW w:w="24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4F2F6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主要入口来源</w:t>
            </w:r>
          </w:p>
        </w:tc>
        <w:tc>
          <w:tcPr>
            <w:tcW w:w="30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0347C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核心内容</w:t>
            </w:r>
          </w:p>
        </w:tc>
        <w:tc>
          <w:tcPr>
            <w:tcW w:w="24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17FC2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主要跳转去向</w:t>
            </w:r>
          </w:p>
        </w:tc>
      </w:tr>
      <w:tr w14:paraId="0D008C21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E001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Overview 总览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048D9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直接访问 / 顶部导航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0C39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多链统计卡、行业分布饼图、跨链热度榜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5895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点击某链→该链筛选后的 Meme Radar；点击热度榜资产→Meme Detail</w:t>
            </w:r>
          </w:p>
        </w:tc>
      </w:tr>
      <w:tr w14:paraId="54B7F45E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1573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Live Radar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D5C1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顶部导航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B381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全链实时事件流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E7F4B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点击事件涉及资产→Meme Detail 或 Stock Radar</w:t>
            </w:r>
          </w:p>
        </w:tc>
      </w:tr>
      <w:tr w14:paraId="07D55713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EF7F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Meme Radar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6B4CA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顶部导航 / Overview 跳转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6FAFB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meme 列表，支持排序筛选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910E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点击 meme→Meme Detail；点击关联股票→Stock Radar</w:t>
            </w:r>
          </w:p>
        </w:tc>
      </w:tr>
      <w:tr w14:paraId="1B2D492D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8A5CC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Stock Radar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30B0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顶部导航 / CA 码跳转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8D50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标的股票的多链代表清单及各自关联 meme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5CE10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点击 meme→Meme Detail；点击查看配对分析→配对分析页</w:t>
            </w:r>
          </w:p>
        </w:tc>
      </w:tr>
      <w:tr w14:paraId="36B96331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D6EDE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配对分析页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2DEA6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Stock Radar / Meme Radar 中的配对入口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41E5B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价差、热度、筹码分布三联展示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B3E9C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点击具体 meme→Meme Detail；点击跳转 OKX→OKX App / 网页</w:t>
            </w:r>
          </w:p>
        </w:tc>
      </w:tr>
      <w:tr w14:paraId="11CE79C8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D112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Meme Detail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2183D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Meme Radar / Live Radar 跳转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C447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三层价差、AI 叙事卡、LP 与筹码结构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98C48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点击跳转 OKX→OKX App / 网页</w:t>
            </w:r>
          </w:p>
        </w:tc>
      </w:tr>
      <w:tr w14:paraId="7E2C9E00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1029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ARC Coming Soon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4955A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链筛选器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FC9D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上线时间与就绪状态说明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60BD2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返回 Overview</w:t>
            </w:r>
          </w:p>
        </w:tc>
      </w:tr>
    </w:tbl>
    <w:p w14:paraId="28998A9F">
      <w:pPr>
        <w:pStyle w:val="2"/>
        <w:pBdr>
          <w:bottom w:val="single" w:color="1F4E79" w:sz="8" w:space="4"/>
        </w:pBdr>
        <w:spacing w:before="3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五、优先级与排期建议</w:t>
      </w:r>
    </w:p>
    <w:p w14:paraId="096A8C27">
      <w:pPr>
        <w:spacing w:after="130" w:line="320" w:lineRule="auto"/>
      </w:pPr>
      <w:r>
        <w:rPr>
          <w:rFonts w:ascii="微软雅黑" w:hAnsi="微软雅黑" w:eastAsia="微软雅黑" w:cs="微软雅黑"/>
        </w:rPr>
        <w:t>把“真实数据管道”列为最高优先级，因为其余一切都依赖它；建议 2.4 节的三项研发验证在开发窗口前 2 天完成，结果决定后面 7 天的具体做法。</w:t>
      </w:r>
    </w:p>
    <w:tbl>
      <w:tblPr>
        <w:tblStyle w:val="11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600"/>
        <w:gridCol w:w="3300"/>
      </w:tblGrid>
      <w:tr w14:paraId="4ED9B0F9">
        <w:trPr>
          <w:tblHeader/>
        </w:trPr>
        <w:tc>
          <w:tcPr>
            <w:tcW w:w="14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6445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优先级</w:t>
            </w:r>
          </w:p>
        </w:tc>
        <w:tc>
          <w:tcPr>
            <w:tcW w:w="4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C9C3A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需求项</w:t>
            </w:r>
          </w:p>
        </w:tc>
        <w:tc>
          <w:tcPr>
            <w:tcW w:w="33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29F2C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33F841C4"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4569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P0-最优先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9AE5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FR2-A1 真实数据管道接入（至少覆盖 X Layer，逐步扩展 Robinhood / BNB）；2.4 节三项研发验证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CF9A1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决定产品是否“真实”，是后续一切需求的前提。</w:t>
            </w:r>
          </w:p>
        </w:tc>
      </w:tr>
      <w:tr w14:paraId="4DAE739A"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26B18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P0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F525C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FR2-A2 排序筛选、FR2-A5 跳转规则、FR2-D1 Meme Radar 字段整合、FR2-F1 三层价差（基础版）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85739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跟随数据管道同步做，用户能立刻感知到的核心价值。</w:t>
            </w:r>
          </w:p>
        </w:tc>
      </w:tr>
      <w:tr w14:paraId="218457C7"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F7C28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P1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1E826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FR2-B1 至 B3 Overview 总览、FR2-E1/E2 Stock Radar 重设计、FR2-G1 配对分析页、FR2-H1/H2 筹码与 LP 结构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712FE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时间允许则做，直接决定演示效果的上限。</w:t>
            </w:r>
          </w:p>
        </w:tc>
      </w:tr>
      <w:tr w14:paraId="38A4BF8D"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2DFD1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P1-小项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03F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FR2-A3 术语说明、FR2-A4 双语一致性、FR2-F2 头像、FR2-I1 ARC 占位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437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工作量小，建议随手做完。</w:t>
            </w:r>
          </w:p>
        </w:tc>
      </w:tr>
      <w:tr w14:paraId="39B4467F"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541E3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P2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8A2E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筹码分布完整聚类分析（依赖 2.4 节链支持范围确认结果）、LP 精确历史收益率计算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51E50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列入路线图，不在本次冲刺范围。</w:t>
            </w:r>
          </w:p>
        </w:tc>
      </w:tr>
    </w:tbl>
    <w:p w14:paraId="31A8DA35">
      <w:pPr>
        <w:pStyle w:val="2"/>
        <w:pBdr>
          <w:bottom w:val="single" w:color="1F4E79" w:sz="8" w:space="4"/>
        </w:pBdr>
        <w:spacing w:before="3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六、验收标准总纲</w:t>
      </w:r>
    </w:p>
    <w:p w14:paraId="38242BB2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全站不存在任何写死的示例数字，所有展示字段能追溯到第二章列出的某个 OKX 接口字段。</w:t>
      </w:r>
    </w:p>
    <w:p w14:paraId="0022D757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任意页面停留超过 10 分钟，至少一个数据点发生真实变化。</w:t>
      </w:r>
    </w:p>
    <w:p w14:paraId="2B7A4BE9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全站跳转入口清单逐条测试通过，无死链和空白页。</w:t>
      </w:r>
    </w:p>
    <w:p w14:paraId="7E2AF428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X Layer、Robinhood Chain、BNB Chain 三条已上线链，在 Overview、Meme Radar、Stock Radar 三个页面的资产数量和统计口径互相一致，不存在同一筛选条件在不同页面给出不同数字。</w:t>
      </w:r>
    </w:p>
    <w:p w14:paraId="4E00236A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中英文切换后，术语说明、标签、提示文案全部同步，无残留。</w:t>
      </w:r>
    </w:p>
    <w:p w14:paraId="525527E3">
      <w:pPr>
        <w:pStyle w:val="2"/>
        <w:pBdr>
          <w:bottom w:val="single" w:color="1F4E79" w:sz="8" w:space="4"/>
        </w:pBdr>
        <w:spacing w:before="3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七、风险与待确认事项</w:t>
      </w:r>
    </w:p>
    <w:tbl>
      <w:tblPr>
        <w:tblStyle w:val="11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00"/>
        <w:gridCol w:w="1400"/>
        <w:gridCol w:w="3600"/>
      </w:tblGrid>
      <w:tr w14:paraId="6BA03A38">
        <w:trPr>
          <w:tblHeader/>
        </w:trPr>
        <w:tc>
          <w:tcPr>
            <w:tcW w:w="43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72D96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事项</w:t>
            </w:r>
          </w:p>
        </w:tc>
        <w:tc>
          <w:tcPr>
            <w:tcW w:w="14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6621B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确认人</w:t>
            </w:r>
          </w:p>
        </w:tc>
        <w:tc>
          <w:tcPr>
            <w:tcW w:w="3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0714B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建议截止时间</w:t>
            </w:r>
          </w:p>
        </w:tc>
      </w:tr>
      <w:tr w14:paraId="7730A335"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6017B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Holder Cluster 系列接口对 Robinhood Chain / BNB Chain 的实际支持范围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CFD4D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研发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93FC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开发窗口第 2 天</w:t>
            </w:r>
          </w:p>
        </w:tc>
      </w:tr>
      <w:tr w14:paraId="045E225C"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953EF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Robinhood Chain / BNB Chain 上已知 meme 合约地址的索引覆盖度抽样验证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ECCF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研发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08066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开发窗口第 2 天</w:t>
            </w:r>
          </w:p>
        </w:tc>
      </w:tr>
      <w:tr w14:paraId="79B6C5A0"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E4878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OKX App Universal Link 跳转的具体目标网页地址（OKX DEX 交易页 URL 规则）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476F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研发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C2826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开发窗口第 2 天</w:t>
            </w:r>
          </w:p>
        </w:tc>
      </w:tr>
      <w:tr w14:paraId="5BBE1123"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4437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ARC 占位方案（筛选器灰态 + 独立 Coming Soon 页）的最终视觉呈现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5ADE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产品 + 设计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5D27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开发窗口第 3 天</w:t>
            </w:r>
          </w:p>
        </w:tc>
      </w:tr>
      <w:tr w14:paraId="13F9B953"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FEE0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配对分析页作为独立路由的具体 URL 结构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3EDA5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研发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9DF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开发窗口第 3 天</w:t>
            </w:r>
          </w:p>
        </w:tc>
      </w:tr>
    </w:tbl>
    <w:p w14:paraId="59E80D56">
      <w:pPr>
        <w:spacing w:after="160" w:line="300" w:lineRule="auto"/>
      </w:pPr>
      <w:r>
        <w:rPr>
          <w:rFonts w:ascii="微软雅黑" w:hAnsi="微软雅黑" w:eastAsia="微软雅黑" w:cs="微软雅黑"/>
          <w:i/>
          <w:iCs/>
          <w:color w:val="595959"/>
          <w:sz w:val="20"/>
          <w:szCs w:val="20"/>
        </w:rPr>
        <w:t>以上事项均不影响本文其余章节的产品设计结论，只影响具体实现细节和排期，建议按截止时间跟踪，逾期未确认的项目自动降级为 P2，避免拖慢整体进度。</w:t>
      </w:r>
    </w:p>
    <w:p w14:paraId="2F16D610">
      <w:pPr>
        <w:pStyle w:val="2"/>
        <w:pBdr>
          <w:bottom w:val="single" w:color="1F4E79" w:sz="8" w:space="4"/>
        </w:pBdr>
        <w:spacing w:before="3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八、需求编号对照（FR2 与 U2 的映射）</w:t>
      </w:r>
    </w:p>
    <w:tbl>
      <w:tblPr>
        <w:tblStyle w:val="11"/>
        <w:tblW w:w="9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700"/>
      </w:tblGrid>
      <w:tr w14:paraId="02BED300">
        <w:trPr>
          <w:tblHeader/>
        </w:trPr>
        <w:tc>
          <w:tcPr>
            <w:tcW w:w="4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3D1E8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本文编号</w:t>
            </w:r>
          </w:p>
        </w:tc>
        <w:tc>
          <w:tcPr>
            <w:tcW w:w="47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0DC7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</w:rPr>
              <w:t>对应《需求迭代清单 v2》编号</w:t>
            </w:r>
          </w:p>
        </w:tc>
      </w:tr>
      <w:tr w14:paraId="5F515F6B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E0B26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FR2-A1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90CB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U2-1</w:t>
            </w:r>
          </w:p>
        </w:tc>
      </w:tr>
      <w:tr w14:paraId="4BCB0852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1CFB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FR2-A2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005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U2-2</w:t>
            </w:r>
          </w:p>
        </w:tc>
      </w:tr>
      <w:tr w14:paraId="1FD6EB7C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640FC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FR2-A5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53B14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U2-3</w:t>
            </w:r>
          </w:p>
        </w:tc>
      </w:tr>
      <w:tr w14:paraId="0C725FF1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D4F3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模块 B（FR2-B1~B3）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648E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U2-6</w:t>
            </w:r>
          </w:p>
        </w:tc>
      </w:tr>
      <w:tr w14:paraId="50C62D5D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9B92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FR2-F1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B851E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U2-7</w:t>
            </w:r>
          </w:p>
        </w:tc>
      </w:tr>
      <w:tr w14:paraId="46BF1014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36B4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FR2-A3/A4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D5C8B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U2-8/U2-12</w:t>
            </w:r>
          </w:p>
        </w:tc>
      </w:tr>
      <w:tr w14:paraId="748C6286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E194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模块 G（FR2-G1）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371F4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U2-9</w:t>
            </w:r>
          </w:p>
        </w:tc>
      </w:tr>
      <w:tr w14:paraId="576CDD24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F6F5C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模块 H（FR2-H1/H2）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8797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U2-10</w:t>
            </w:r>
          </w:p>
        </w:tc>
      </w:tr>
      <w:tr w14:paraId="1DE6AA5B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4FDAC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模块 E（FR2-E1/E2）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B2489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U2-11</w:t>
            </w:r>
          </w:p>
        </w:tc>
      </w:tr>
      <w:tr w14:paraId="151FEB7A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879E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模块 I（FR2-I1）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A7498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U2-5</w:t>
            </w:r>
          </w:p>
        </w:tc>
      </w:tr>
      <w:tr w14:paraId="03C53F5D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4E8A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FR2-F2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7E12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U2-13</w:t>
            </w:r>
          </w:p>
        </w:tc>
      </w:tr>
      <w:tr w14:paraId="74F0C68E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3E95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模块 D（FR2-D1）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753A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U2-2 / U2-4 综合</w:t>
            </w:r>
          </w:p>
        </w:tc>
      </w:tr>
      <w:tr w14:paraId="46A0B5E0"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45220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模块 A 多链筛选部分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C617D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</w:rPr>
              <w:t>U2-4</w:t>
            </w:r>
          </w:p>
        </w:tc>
      </w:tr>
    </w:tbl>
    <w:p w14:paraId="4398D8E1">
      <w:pPr>
        <w:pStyle w:val="2"/>
        <w:pBdr>
          <w:bottom w:val="single" w:color="1F4E79" w:sz="8" w:space="4"/>
        </w:pBdr>
        <w:spacing w:before="380" w:after="160"/>
      </w:pPr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九、参考来源</w:t>
      </w:r>
    </w:p>
    <w:p w14:paraId="5818D04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OKX OnchainOS Market API 介绍：web3.okx.com/onchainos/dev-docs/market/market-api-introduction</w:t>
      </w:r>
    </w:p>
    <w:p w14:paraId="6CEC9BA6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OKX 支持网络清单：web3.okx.com/onchainos/dev-docs/home/supported-chain</w:t>
      </w:r>
    </w:p>
    <w:p w14:paraId="2498CFC5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Get RWA Token List：web3.okx.com/onchainos/dev-docs/market/market-rwa-token</w:t>
      </w:r>
    </w:p>
    <w:p w14:paraId="7FC62EEB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Token Basic Information：web3.okx.com/onchainos/dev-docs/market/market-token-basic-info</w:t>
      </w:r>
    </w:p>
    <w:p w14:paraId="6B32731A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Token Advanced Information：web3.okx.com/onchainos/dev-docs/market/market-token-advanced-info</w:t>
      </w:r>
    </w:p>
    <w:p w14:paraId="15C6D462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Token Liquidity Pool Information：web3.okx.com/onchainos/dev-docs/market/market-token-top-liquidity</w:t>
      </w:r>
    </w:p>
    <w:p w14:paraId="6617E64D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Token Trading Information：web3.okx.com/onchainos/dev-docs/market/market-token-price-info</w:t>
      </w:r>
    </w:p>
    <w:p w14:paraId="1C6C80E8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Token Holder Information：web3.okx.com/onchainos/dev-docs/market/market-token-holder</w:t>
      </w:r>
    </w:p>
    <w:p w14:paraId="62482F9B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Get Cluster Supported Chain：web3.okx.com/onchainos/dev-docs/market/market-token-cluster-supported-chain</w:t>
      </w:r>
    </w:p>
    <w:p w14:paraId="157732BC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OKX App Universal Link：web3.okx.com/build/docs/waas/app-universal-link</w:t>
      </w:r>
    </w:p>
    <w:p w14:paraId="0B2D3F21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OKX Dev Day 2026 官方页面：luma.com/l4aq8vii</w:t>
      </w:r>
    </w:p>
    <w:p w14:paraId="08020FC3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OKX Dev Day 2026 条款与免责声明：okx.com/en-us/learn/okx-dev-day-terms</w:t>
      </w:r>
    </w:p>
    <w:p w14:paraId="4B7F407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微软雅黑" w:hAnsi="微软雅黑" w:eastAsia="微软雅黑" w:cs="微软雅黑"/>
        </w:rPr>
        <w:t>Circle 官方新闻稿，Arc 主网 9 月 16 日上线：circle.com/pressroom/circle-announces-founding-validator-cohort-and-major-integrations-for-arc-ahead-of-september-16-mainnet-launch</w:t>
      </w:r>
    </w:p>
    <w:sectPr>
      <w:pgSz w:w="11906" w:h="16838"/>
      <w:pgMar w:top="1000" w:right="1100" w:bottom="10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F62B4"/>
    <w:multiLevelType w:val="multilevel"/>
    <w:tmpl w:val="DEFF62B4"/>
    <w:lvl w:ilvl="0" w:tentative="0">
      <w:start w:val="1"/>
      <w:numFmt w:val="bullet"/>
      <w:lvlText w:val="•"/>
      <w:lvlJc w:val="left"/>
      <w:pPr>
        <w:ind w:left="420" w:hanging="260"/>
      </w:pPr>
    </w:lvl>
    <w:lvl w:ilvl="1" w:tentative="0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CFFFB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1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陈希哲</cp:lastModifiedBy>
  <dcterms:modified xsi:type="dcterms:W3CDTF">2026-09-14T18:26:34Z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936254170C55CA01DACBA76A9B7AF67E_42</vt:lpwstr>
  </property>
</Properties>
</file>