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</w:pPr>
      <w:r>
        <w:rPr>
          <w:b/>
          <w:bCs/>
          <w:color w:val="1E5A86"/>
          <w:sz w:val="18"/>
          <w:szCs w:val="18"/>
          <w:rFonts w:ascii="微软雅黑" w:cs="微软雅黑" w:eastAsia="微软雅黑" w:hAnsi="微软雅黑"/>
        </w:rPr>
        <w:t xml:space="preserve">ENTERPRISE MULTIMODAL KNOWLEDGE</w:t>
      </w:r>
    </w:p>
    <w:p>
      <w:pPr>
        <w:spacing w:after="200"/>
      </w:pPr>
      <w:r>
        <w:rPr>
          <w:b/>
          <w:bCs/>
          <w:color w:val="1E5A86"/>
          <w:sz w:val="44"/>
          <w:szCs w:val="44"/>
          <w:rFonts w:ascii="微软雅黑" w:cs="微软雅黑" w:eastAsia="微软雅黑" w:hAnsi="微软雅黑"/>
        </w:rPr>
        <w:t xml:space="preserve">企业多模态知识库平台介绍</w:t>
      </w:r>
    </w:p>
    <w:p>
      <w:pPr>
        <w:spacing w:after="200" w:before="0" w:line="360"/>
      </w:pPr>
      <w:r>
        <w:rPr>
          <w:color w:val="1A2B3C"/>
          <w:sz w:val="22"/>
          <w:szCs w:val="22"/>
          <w:rFonts w:ascii="微软雅黑" w:cs="微软雅黑" w:eastAsia="微软雅黑" w:hAnsi="微软雅黑"/>
        </w:rPr>
        <w:t xml:space="preserve">把分散在制度、表格、图纸说明、音视频中的企业资料，建成「找得到、管得住、用得开、有出处」的知识服务平台，支撑业务查找、带依据问答与系统集成，辅助决策而不替代正式制度效力。</w:t>
      </w:r>
    </w:p>
    <w:p>
      <w:pPr>
        <w:spacing w:after="320" w:before="0" w:line="360"/>
      </w:pPr>
      <w:r>
        <w:rPr>
          <w:color w:val="5A6D7E"/>
          <w:sz w:val="17"/>
          <w:szCs w:val="17"/>
          <w:rFonts w:ascii="微软雅黑" w:cs="微软雅黑" w:eastAsia="微软雅黑" w:hAnsi="微软雅黑"/>
        </w:rPr>
        <w:t xml:space="preserve">文档定位：面向决策层 / 业务负责人的总体介绍　　产品形态：单节点可部署企业知识平台　　更新日期：2026-09</w:t>
      </w:r>
    </w:p>
    <w:p>
      <w:pPr>
        <w:pStyle w:val="Heading1"/>
        <w:spacing w:before="280" w:after="160"/>
      </w:pPr>
      <w:r>
        <w:rPr>
          <w:b/>
          <w:bCs/>
          <w:color w:val="1E5A86"/>
          <w:sz w:val="32"/>
          <w:szCs w:val="32"/>
          <w:rFonts w:ascii="微软雅黑" w:cs="微软雅黑" w:eastAsia="微软雅黑" w:hAnsi="微软雅黑"/>
        </w:rPr>
        <w:t xml:space="preserve">1. 总体定位与价值</w:t>
      </w:r>
    </w:p>
    <w:p>
      <w:pPr>
        <w:spacing w:after="160" w:before="0" w:line="360"/>
      </w:pPr>
      <w:r>
        <w:rPr>
          <w:color w:val="1A2B3C"/>
          <w:sz w:val="21"/>
          <w:szCs w:val="21"/>
          <w:rFonts w:ascii="微软雅黑" w:cs="微软雅黑" w:eastAsia="微软雅黑" w:hAnsi="微软雅黑"/>
        </w:rPr>
        <w:t xml:space="preserve">企业知识往往散落在 PDF、Word、Excel、扫描件与音视频中。业务人员「问得到人、找不到依据」；知识管理人员「有文档、难治理」；系统建设「有模型、缺证据」。本平台以多模态接入 + 证据核验 + 权限可控 + 场景化应用为主线，形成可持续运营的企业知识底座。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找得着 · 场景与原文双路径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管得住 · 发布审核与版本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用得开 · 问答 / 图谱 / 标准接口</w:t>
      </w:r>
    </w:p>
    <w:p>
      <w:pPr>
        <w:spacing w:after="160" w:before="0" w:line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对业务人员：按任务、对象、问题快速定位有效资料；问答结果带回原文引用，减少「凭印象答复」。</w:t>
      </w:r>
    </w:p>
    <w:p>
      <w:pPr>
        <w:spacing w:after="160" w:before="0" w:line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对知识管理员：统一接入、解析、属性标注、重复冲突核验、知识卡片与需求池，形成可运营的知识生产流水线。</w:t>
      </w:r>
    </w:p>
    <w:p>
      <w:pPr>
        <w:spacing w:after="160" w:before="0" w:line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对平台与 IT：服务端鉴权、审计留痕、模型与解析服务可配置；标准知识接口可被业务系统安全调用。</w:t>
      </w:r>
    </w:p>
    <w:p>
      <w:pPr>
        <w:spacing w:after="240" w:before="0" w:line="360"/>
      </w:pPr>
      <w:r>
        <w:rPr>
          <w:b/>
          <w:bCs/>
          <w:color w:val="1A2B3C"/>
          <w:sz w:val="20"/>
          <w:szCs w:val="20"/>
          <w:rFonts w:ascii="微软雅黑" w:cs="微软雅黑" w:eastAsia="微软雅黑" w:hAnsi="微软雅黑"/>
        </w:rPr>
        <w:t xml:space="preserve">一句话口径：将企业多模态资料纳入「授权可控、原文可溯、发布可审、接口可集成」的知识闭环，支撑业务场景查找与带依据智能问答，并以需求池、卡片、评测与审计持续治理质量。</w:t>
      </w:r>
    </w:p>
    <w:p>
      <w:pPr>
        <w:pStyle w:val="Heading1"/>
        <w:spacing w:before="280" w:after="160"/>
      </w:pPr>
      <w:r>
        <w:rPr>
          <w:b/>
          <w:bCs/>
          <w:color w:val="1E5A86"/>
          <w:sz w:val="32"/>
          <w:szCs w:val="32"/>
          <w:rFonts w:ascii="微软雅黑" w:cs="微软雅黑" w:eastAsia="微软雅黑" w:hAnsi="微软雅黑"/>
        </w:rPr>
        <w:t xml:space="preserve">2. 总体能力全景</w:t>
      </w:r>
    </w:p>
    <w:p>
      <w:pPr>
        <w:spacing w:after="160" w:before="0" w:line="360"/>
      </w:pPr>
      <w:r>
        <w:rPr>
          <w:color w:val="1A2B3C"/>
          <w:sz w:val="21"/>
          <w:szCs w:val="21"/>
          <w:rFonts w:ascii="微软雅黑" w:cs="微软雅黑" w:eastAsia="微软雅黑" w:hAnsi="微软雅黑"/>
        </w:rPr>
        <w:t xml:space="preserve">从「资料进入」到「业务使用」，再到「质量回流」的端到端视图，便于领导把握平台全貌。</w:t>
      </w:r>
    </w:p>
    <w:p>
      <w:pPr>
        <w:spacing w:after="160" w:before="0" w:line="360"/>
      </w:pPr>
      <w:r>
        <w:rPr>
          <w:i/>
          <w:iCs/>
          <w:color w:val="5A6D7E"/>
          <w:sz w:val="18"/>
          <w:szCs w:val="18"/>
          <w:rFonts w:ascii="微软雅黑" w:cs="微软雅黑" w:eastAsia="微软雅黑" w:hAnsi="微软雅黑"/>
        </w:rPr>
        <w:t xml:space="preserve">【示意图】图1 企业多模态知识库总体能力全景（生成时未能拉取在线图形，请参阅 HTML 版）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1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指标</w:t>
            </w:r>
          </w:p>
        </w:tc>
        <w:tc>
          <w:tcPr>
            <w:tcW w:type="dxa" w:w="561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说明</w:t>
            </w:r>
          </w:p>
        </w:tc>
      </w:tr>
      <w:tr>
        <w:tc>
          <w:tcPr>
            <w:tcW w:type="dxa" w:w="301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7 大导航能力中心</w:t>
            </w:r>
          </w:p>
        </w:tc>
        <w:tc>
          <w:tcPr>
            <w:tcW w:type="dxa" w:w="561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工作台 / 应用 / 资产 / 加工 / 治理 / 运营 / 管理</w:t>
            </w:r>
          </w:p>
        </w:tc>
      </w:tr>
      <w:tr>
        <w:tc>
          <w:tcPr>
            <w:tcW w:type="dxa" w:w="301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单文件 100MB</w:t>
            </w:r>
          </w:p>
        </w:tc>
        <w:tc>
          <w:tcPr>
            <w:tcW w:type="dxa" w:w="561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多模态资料接入上限</w:t>
            </w:r>
          </w:p>
        </w:tc>
      </w:tr>
      <w:tr>
        <w:tc>
          <w:tcPr>
            <w:tcW w:type="dxa" w:w="301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全程引用</w:t>
            </w:r>
          </w:p>
        </w:tc>
        <w:tc>
          <w:tcPr>
            <w:tcW w:type="dxa" w:w="561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答复可回原文证据</w:t>
            </w:r>
          </w:p>
        </w:tc>
      </w:tr>
    </w:tbl>
    <w:p>
      <w:pPr>
        <w:pStyle w:val="Heading1"/>
        <w:spacing w:before="280" w:after="160"/>
      </w:pPr>
      <w:r>
        <w:rPr>
          <w:b/>
          <w:bCs/>
          <w:color w:val="1E5A86"/>
          <w:sz w:val="32"/>
          <w:szCs w:val="32"/>
          <w:rFonts w:ascii="微软雅黑" w:cs="微软雅黑" w:eastAsia="微软雅黑" w:hAnsi="微软雅黑"/>
        </w:rPr>
        <w:t xml:space="preserve">3. 功能架构</w:t>
      </w:r>
    </w:p>
    <w:p>
      <w:pPr>
        <w:spacing w:after="160" w:before="0" w:line="360"/>
      </w:pPr>
      <w:r>
        <w:rPr>
          <w:color w:val="1A2B3C"/>
          <w:sz w:val="21"/>
          <w:szCs w:val="21"/>
          <w:rFonts w:ascii="微软雅黑" w:cs="微软雅黑" w:eastAsia="微软雅黑" w:hAnsi="微软雅黑"/>
        </w:rPr>
        <w:t xml:space="preserve">平台按「工作台 → 应用 → 资产 → 加工 → 治理 → 运营 → 管理」七大中心组织能力，菜单按角色（管理员 / 知识管理员 / 使用者）裁剪，保证一线人员界面简洁、管理人员能力完整。</w:t>
      </w:r>
    </w:p>
    <w:p>
      <w:pPr>
        <w:pStyle w:val="Heading2"/>
        <w:spacing w:before="280" w:after="160"/>
      </w:pPr>
      <w:r>
        <w:rPr>
          <w:b/>
          <w:bCs/>
          <w:color w:val="1E5A86"/>
          <w:sz w:val="26"/>
          <w:szCs w:val="26"/>
          <w:rFonts w:ascii="微软雅黑" w:cs="微软雅黑" w:eastAsia="微软雅黑" w:hAnsi="微软雅黑"/>
        </w:rPr>
        <w:t xml:space="preserve">3.1 七大功能中心</w:t>
      </w:r>
    </w:p>
    <w:p>
      <w:pPr>
        <w:spacing w:after="160" w:before="0" w:line="360"/>
      </w:pPr>
      <w:r>
        <w:rPr>
          <w:i/>
          <w:iCs/>
          <w:color w:val="5A6D7E"/>
          <w:sz w:val="18"/>
          <w:szCs w:val="18"/>
          <w:rFonts w:ascii="微软雅黑" w:cs="微软雅黑" w:eastAsia="微软雅黑" w:hAnsi="微软雅黑"/>
        </w:rPr>
        <w:t xml:space="preserve">【示意图】图2 功能架构：七大中心协同关系（生成时未能拉取在线图形，请参阅 HTML 版）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中心</w:t>
            </w:r>
          </w:p>
        </w:tc>
        <w:tc>
          <w:tcPr>
            <w:tcW w:type="dxa" w:w="2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面向角色</w:t>
            </w:r>
          </w:p>
        </w:tc>
        <w:tc>
          <w:tcPr>
            <w:tcW w:type="dxa" w:w="5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核心能力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工作台</w:t>
            </w:r>
          </w:p>
        </w:tc>
        <w:tc>
          <w:tcPr>
            <w:tcW w:type="dxa" w:w="2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全员</w:t>
            </w:r>
          </w:p>
        </w:tc>
        <w:tc>
          <w:tcPr>
            <w:tcW w:type="dxa" w:w="5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知识规模、待办汇聚，一键进入查找 / 问答 / 图谱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知识应用</w:t>
            </w:r>
          </w:p>
        </w:tc>
        <w:tc>
          <w:tcPr>
            <w:tcW w:type="dxa" w:w="2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业务人员、管理员</w:t>
            </w:r>
          </w:p>
        </w:tc>
        <w:tc>
          <w:tcPr>
            <w:tcW w:type="dxa" w:w="5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综合查找、知识搜索、智能问答、业务场景、收藏与反馈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知识资产</w:t>
            </w:r>
          </w:p>
        </w:tc>
        <w:tc>
          <w:tcPr>
            <w:tcW w:type="dxa" w:w="2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全员（按权限）</w:t>
            </w:r>
          </w:p>
        </w:tc>
        <w:tc>
          <w:tcPr>
            <w:tcW w:type="dxa" w:w="5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知识库矩阵、文档、业务对象、知识卡片、需求池、知识图谱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接入加工</w:t>
            </w:r>
          </w:p>
        </w:tc>
        <w:tc>
          <w:tcPr>
            <w:tcW w:type="dxa" w:w="2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知识管理员</w:t>
            </w:r>
          </w:p>
        </w:tc>
        <w:tc>
          <w:tcPr>
            <w:tcW w:type="dxa" w:w="5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多模态文件接入、资料源同步、解析索引、属性标注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质量治理</w:t>
            </w:r>
          </w:p>
        </w:tc>
        <w:tc>
          <w:tcPr>
            <w:tcW w:type="dxa" w:w="2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知识管理员</w:t>
            </w:r>
          </w:p>
        </w:tc>
        <w:tc>
          <w:tcPr>
            <w:tcW w:type="dxa" w:w="5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近似重复 / 条款冲突核验、反馈记录与沉淀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运营分析</w:t>
            </w:r>
          </w:p>
        </w:tc>
        <w:tc>
          <w:tcPr>
            <w:tcW w:type="dxa" w:w="2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tcW w:type="dxa" w:w="5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质量评测、运行追踪、答复完整性补全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平台管理</w:t>
            </w:r>
          </w:p>
        </w:tc>
        <w:tc>
          <w:tcPr>
            <w:tcW w:type="dxa" w:w="2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管理员</w:t>
            </w:r>
          </w:p>
        </w:tc>
        <w:tc>
          <w:tcPr>
            <w:tcW w:type="dxa" w:w="5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模型与服务目录、标准知识接口、审计、备份、组织人员</w:t>
            </w:r>
          </w:p>
        </w:tc>
      </w:tr>
    </w:tbl>
    <w:p>
      <w:pPr>
        <w:pStyle w:val="Heading2"/>
        <w:spacing w:before="280" w:after="160"/>
      </w:pPr>
      <w:r>
        <w:rPr>
          <w:b/>
          <w:bCs/>
          <w:color w:val="1E5A86"/>
          <w:sz w:val="26"/>
          <w:szCs w:val="26"/>
          <w:rFonts w:ascii="微软雅黑" w:cs="微软雅黑" w:eastAsia="微软雅黑" w:hAnsi="微软雅黑"/>
        </w:rPr>
        <w:t xml:space="preserve">3.2 知识生产与应用功能分层</w:t>
      </w:r>
    </w:p>
    <w:p>
      <w:pPr>
        <w:spacing w:after="160" w:before="0" w:line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生产侧：多模态解析、属性标注（模板草稿+人工确认）、知识卡片（发布须关联原文）、图谱关系候选确认。</w:t>
      </w:r>
    </w:p>
    <w:p>
      <w:pPr>
        <w:spacing w:after="160" w:before="0" w:line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应用侧：综合查找意图分流、智能问答强制引用、业务场景评测发布、标准接口按绑定范围调用。</w:t>
      </w:r>
    </w:p>
    <w:p>
      <w:pPr>
        <w:pStyle w:val="Heading2"/>
        <w:spacing w:before="280" w:after="160"/>
      </w:pPr>
      <w:r>
        <w:rPr>
          <w:b/>
          <w:bCs/>
          <w:color w:val="1E5A86"/>
          <w:sz w:val="26"/>
          <w:szCs w:val="26"/>
          <w:rFonts w:ascii="微软雅黑" w:cs="微软雅黑" w:eastAsia="微软雅黑" w:hAnsi="微软雅黑"/>
        </w:rPr>
        <w:t xml:space="preserve">3.3 近期增强能力（知识闭环升级）</w:t>
      </w:r>
    </w:p>
    <w:p>
      <w:pPr>
        <w:spacing w:after="160" w:before="0" w:line="360"/>
      </w:pPr>
      <w:r>
        <w:rPr>
          <w:i/>
          <w:iCs/>
          <w:color w:val="5A6D7E"/>
          <w:sz w:val="18"/>
          <w:szCs w:val="18"/>
          <w:rFonts w:ascii="微软雅黑" w:cs="微软雅黑" w:eastAsia="微软雅黑" w:hAnsi="微软雅黑"/>
        </w:rPr>
        <w:t xml:space="preserve">【示意图】图3 属性·卡片·完整性·需求池闭环（生成时未能拉取在线图形，请参阅 HTML 版）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属性标注：文档/片段级属性建议与确认，服务检索过滤与问答条件。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知识卡片：四类模板；草稿不作标准口径，冲突并排保留。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完整性补全：解析应答要点；智能补全仅结构/澄清，知识补全必须带证据。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知识需求池：缺口归集为待确认工单，支持分派、复测、关闭。</w:t>
      </w:r>
    </w:p>
    <w:p>
      <w:pPr>
        <w:pStyle w:val="Heading1"/>
        <w:spacing w:before="280" w:after="160"/>
      </w:pPr>
      <w:r>
        <w:rPr>
          <w:b/>
          <w:bCs/>
          <w:color w:val="1E5A86"/>
          <w:sz w:val="32"/>
          <w:szCs w:val="32"/>
          <w:rFonts w:ascii="微软雅黑" w:cs="微软雅黑" w:eastAsia="微软雅黑" w:hAnsi="微软雅黑"/>
        </w:rPr>
        <w:t xml:space="preserve">4. 技术架构</w:t>
      </w:r>
    </w:p>
    <w:p>
      <w:pPr>
        <w:spacing w:after="160" w:before="0" w:line="360"/>
      </w:pPr>
      <w:r>
        <w:rPr>
          <w:color w:val="1A2B3C"/>
          <w:sz w:val="21"/>
          <w:szCs w:val="21"/>
          <w:rFonts w:ascii="微软雅黑" w:cs="微软雅黑" w:eastAsia="微软雅黑" w:hAnsi="微软雅黑"/>
        </w:rPr>
        <w:t xml:space="preserve">技术选型强调可落地、可审计、可单节点试点，兼顾后续扩展。</w:t>
      </w:r>
    </w:p>
    <w:p>
      <w:pPr>
        <w:pStyle w:val="Heading2"/>
        <w:spacing w:before="280" w:after="160"/>
      </w:pPr>
      <w:r>
        <w:rPr>
          <w:b/>
          <w:bCs/>
          <w:color w:val="1E5A86"/>
          <w:sz w:val="26"/>
          <w:szCs w:val="26"/>
          <w:rFonts w:ascii="微软雅黑" w:cs="微软雅黑" w:eastAsia="微软雅黑" w:hAnsi="微软雅黑"/>
        </w:rPr>
        <w:t xml:space="preserve">4.1 分层技术架构</w:t>
      </w:r>
    </w:p>
    <w:p>
      <w:pPr>
        <w:spacing w:after="160" w:before="0" w:line="360"/>
      </w:pPr>
      <w:r>
        <w:rPr>
          <w:i/>
          <w:iCs/>
          <w:color w:val="5A6D7E"/>
          <w:sz w:val="18"/>
          <w:szCs w:val="18"/>
          <w:rFonts w:ascii="微软雅黑" w:cs="微软雅黑" w:eastAsia="微软雅黑" w:hAnsi="微软雅黑"/>
        </w:rPr>
        <w:t xml:space="preserve">【示意图】图4 技术分层架构（生成时未能拉取在线图形，请参阅 HTML 版）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前端：React + TypeScript + Vite 企业工作台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API：Node.js 统一会话、权限、文档、检索、问答与扩展模块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检索：中文 BM25 + 可选向量 RRF 融合；无向量可降级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存储：SQLite WAL + 原件目录（SHA-256）；模型密钥服务端密封</w:t>
      </w:r>
    </w:p>
    <w:p>
      <w:pPr>
        <w:pStyle w:val="Heading2"/>
        <w:spacing w:before="280" w:after="160"/>
      </w:pPr>
      <w:r>
        <w:rPr>
          <w:b/>
          <w:bCs/>
          <w:color w:val="1E5A86"/>
          <w:sz w:val="26"/>
          <w:szCs w:val="26"/>
          <w:rFonts w:ascii="微软雅黑" w:cs="微软雅黑" w:eastAsia="微软雅黑" w:hAnsi="微软雅黑"/>
        </w:rPr>
        <w:t xml:space="preserve">4.2 多模态处理链路</w:t>
      </w:r>
    </w:p>
    <w:p>
      <w:pPr>
        <w:spacing w:after="160" w:before="0" w:line="360"/>
      </w:pPr>
      <w:r>
        <w:rPr>
          <w:i/>
          <w:iCs/>
          <w:color w:val="5A6D7E"/>
          <w:sz w:val="18"/>
          <w:szCs w:val="18"/>
          <w:rFonts w:ascii="微软雅黑" w:cs="微软雅黑" w:eastAsia="微软雅黑" w:hAnsi="微软雅黑"/>
        </w:rPr>
        <w:t xml:space="preserve">【示意图】图5 多模态接入与发布链路（生成时未能拉取在线图形，请参阅 HTML 版）</w:t>
      </w:r>
    </w:p>
    <w:p>
      <w:pPr>
        <w:pStyle w:val="Heading2"/>
        <w:spacing w:before="280" w:after="160"/>
      </w:pPr>
      <w:r>
        <w:rPr>
          <w:b/>
          <w:bCs/>
          <w:color w:val="1E5A86"/>
          <w:sz w:val="26"/>
          <w:szCs w:val="26"/>
          <w:rFonts w:ascii="微软雅黑" w:cs="微软雅黑" w:eastAsia="微软雅黑" w:hAnsi="微软雅黑"/>
        </w:rPr>
        <w:t xml:space="preserve">4.3 问答与检索技术路径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环节</w:t>
            </w:r>
          </w:p>
        </w:tc>
        <w:tc>
          <w:tcPr>
            <w:tcW w:type="dxa" w:w="4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做法</w:t>
            </w:r>
          </w:p>
        </w:tc>
        <w:tc>
          <w:tcPr>
            <w:tcW w:type="dxa" w:w="34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领导关注点</w:t>
            </w:r>
          </w:p>
        </w:tc>
      </w:tr>
      <w:tr>
        <w:tc>
          <w:tcPr>
            <w:tcW w:type="dxa" w:w="14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检索</w:t>
            </w:r>
          </w:p>
        </w:tc>
        <w:tc>
          <w:tcPr>
            <w:tcW w:type="dxa" w:w="4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BM25 + 可选向量，RRF 融合；可叠加已确认图谱路径</w:t>
            </w:r>
          </w:p>
        </w:tc>
        <w:tc>
          <w:tcPr>
            <w:tcW w:type="dxa" w:w="34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先保证找得到原文，再谈生成</w:t>
            </w:r>
          </w:p>
        </w:tc>
      </w:tr>
      <w:tr>
        <w:tc>
          <w:tcPr>
            <w:tcW w:type="dxa" w:w="14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生成</w:t>
            </w:r>
          </w:p>
        </w:tc>
        <w:tc>
          <w:tcPr>
            <w:tcW w:type="dxa" w:w="4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可配置兼容 Chat Completions 或本地 Ollama</w:t>
            </w:r>
          </w:p>
        </w:tc>
        <w:tc>
          <w:tcPr>
            <w:tcW w:type="dxa" w:w="34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模型可替换，不绑死单一厂商</w:t>
            </w:r>
          </w:p>
        </w:tc>
      </w:tr>
      <w:tr>
        <w:tc>
          <w:tcPr>
            <w:tcW w:type="dxa" w:w="14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引用</w:t>
            </w:r>
          </w:p>
        </w:tc>
        <w:tc>
          <w:tcPr>
            <w:tcW w:type="dxa" w:w="4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区分归纳 / 摘录 / 依据不足；回链页码或证据块</w:t>
            </w:r>
          </w:p>
        </w:tc>
        <w:tc>
          <w:tcPr>
            <w:tcW w:type="dxa" w:w="34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可核验，降低幻觉风险</w:t>
            </w:r>
          </w:p>
        </w:tc>
      </w:tr>
      <w:tr>
        <w:tc>
          <w:tcPr>
            <w:tcW w:type="dxa" w:w="14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补全</w:t>
            </w:r>
          </w:p>
        </w:tc>
        <w:tc>
          <w:tcPr>
            <w:tcW w:type="dxa" w:w="4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smart 仅结构澄清；knowledge 必须有证据；否则进需求池</w:t>
            </w:r>
          </w:p>
        </w:tc>
        <w:tc>
          <w:tcPr>
            <w:tcW w:type="dxa" w:w="34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不凭常识编造企业时限、审批权限等</w:t>
            </w:r>
          </w:p>
        </w:tc>
      </w:tr>
    </w:tbl>
    <w:p>
      <w:pPr>
        <w:pStyle w:val="Heading1"/>
        <w:spacing w:before="280" w:after="160"/>
      </w:pPr>
      <w:r>
        <w:rPr>
          <w:b/>
          <w:bCs/>
          <w:color w:val="1E5A86"/>
          <w:sz w:val="32"/>
          <w:szCs w:val="32"/>
          <w:rFonts w:ascii="微软雅黑" w:cs="微软雅黑" w:eastAsia="微软雅黑" w:hAnsi="微软雅黑"/>
        </w:rPr>
        <w:t xml:space="preserve">5. 核心业务闭环</w:t>
      </w:r>
    </w:p>
    <w:p>
      <w:pPr>
        <w:spacing w:after="160" w:before="0" w:line="360"/>
      </w:pPr>
      <w:r>
        <w:rPr>
          <w:color w:val="1A2B3C"/>
          <w:sz w:val="21"/>
          <w:szCs w:val="21"/>
          <w:rFonts w:ascii="微软雅黑" w:cs="微软雅黑" w:eastAsia="微软雅黑" w:hAnsi="微软雅黑"/>
        </w:rPr>
        <w:t xml:space="preserve">平台不是「一次上传、永久可用」，而是持续运营的知识供应链。</w:t>
      </w:r>
    </w:p>
    <w:p>
      <w:pPr>
        <w:spacing w:after="160" w:before="0" w:line="360"/>
      </w:pPr>
      <w:r>
        <w:rPr>
          <w:i/>
          <w:iCs/>
          <w:color w:val="5A6D7E"/>
          <w:sz w:val="18"/>
          <w:szCs w:val="18"/>
          <w:rFonts w:ascii="微软雅黑" w:cs="微软雅黑" w:eastAsia="微软雅黑" w:hAnsi="微软雅黑"/>
        </w:rPr>
        <w:t xml:space="preserve">【示意图】图6 知识运营七步闭环（生成时未能拉取在线图形，请参阅 HTML 版）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发布状态机：资料排队→解析→待审→已发布；卡片草稿→审核→有证据后发布；图谱关系需人工确认。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质量回流：用户反馈可沉淀；问答缺口进需求池；评测题库检验场景版本。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对外赋能：标准知识接口绑定库/场景/任务范围，密钥可轮换，调用方无法扩大授权。</w:t>
      </w:r>
    </w:p>
    <w:p>
      <w:pPr>
        <w:pStyle w:val="Heading1"/>
        <w:spacing w:before="280" w:after="160"/>
      </w:pPr>
      <w:r>
        <w:rPr>
          <w:b/>
          <w:bCs/>
          <w:color w:val="1E5A86"/>
          <w:sz w:val="32"/>
          <w:szCs w:val="32"/>
          <w:rFonts w:ascii="微软雅黑" w:cs="微软雅黑" w:eastAsia="微软雅黑" w:hAnsi="微软雅黑"/>
        </w:rPr>
        <w:t xml:space="preserve">6. 安全、治理与建设边界</w:t>
      </w:r>
    </w:p>
    <w:p>
      <w:pPr>
        <w:spacing w:after="160" w:before="0" w:line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安全与权限：知识库可见范围（企业/部门/成员）；文档保密级别；列表/原件/搜索/问答/接口均服务端鉴权；写操作 Origin 校验；关键动作进入操作审计。</w:t>
      </w:r>
    </w:p>
    <w:p>
      <w:pPr>
        <w:spacing w:after="160" w:before="0" w:line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治理原则（明确不做）：属性标签不替代 ACL；不自动揉合多来源冲突；不凭模型常识填写审批/时限/金额等事实；知识卡片不替代正式文件效力；当前定位为部门试点可部署，非已验收高可用集群。</w:t>
      </w:r>
    </w:p>
    <w:p>
      <w:pPr>
        <w:spacing w:after="160" w:before="0" w:line="360"/>
      </w:pPr>
      <w:r>
        <w:rPr>
          <w:b/>
          <w:bCs/>
          <w:color w:val="1A2B3C"/>
          <w:sz w:val="20"/>
          <w:szCs w:val="20"/>
          <w:rFonts w:ascii="微软雅黑" w:cs="微软雅黑" w:eastAsia="微软雅黑" w:hAnsi="微软雅黑"/>
        </w:rPr>
        <w:t xml:space="preserve">管理提示：平台产出的答复与卡片是「可追溯的业务辅助口径」。涉及对外承诺、审批结论、安全操作时，仍应以现行有效正式文件与制度流程为准。</w:t>
      </w:r>
    </w:p>
    <w:p>
      <w:pPr>
        <w:pStyle w:val="Heading1"/>
        <w:spacing w:before="280" w:after="160"/>
      </w:pPr>
      <w:r>
        <w:rPr>
          <w:b/>
          <w:bCs/>
          <w:color w:val="1E5A86"/>
          <w:sz w:val="32"/>
          <w:szCs w:val="32"/>
          <w:rFonts w:ascii="微软雅黑" w:cs="微软雅黑" w:eastAsia="微软雅黑" w:hAnsi="微软雅黑"/>
        </w:rPr>
        <w:t xml:space="preserve">7. 建设成效与推进建议</w:t>
      </w:r>
    </w:p>
    <w:p>
      <w:pPr>
        <w:pStyle w:val="Heading2"/>
        <w:spacing w:before="280" w:after="160"/>
      </w:pPr>
      <w:r>
        <w:rPr>
          <w:b/>
          <w:bCs/>
          <w:color w:val="1E5A86"/>
          <w:sz w:val="26"/>
          <w:szCs w:val="26"/>
          <w:rFonts w:ascii="微软雅黑" w:cs="微软雅黑" w:eastAsia="微软雅黑" w:hAnsi="微软雅黑"/>
        </w:rPr>
        <w:t xml:space="preserve">7.1 已形成的能力资产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覆盖接入、资产、应用、治理、运营、管理的完整功能骨架。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多模态处理与混合检索底座，支持「无向量也可用、有向量更准」。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引用式问答 + 场景评测发布，降低不可核验答复进入生产的风险。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属性 / 卡片 / 完整性 / 需求池打通「发现缺口 → 补知识 → 再验证」闭环。</w:t>
      </w:r>
    </w:p>
    <w:p>
      <w:pPr>
        <w:spacing w:after="80" w:line="340"/>
        <w:ind w:left="360"/>
      </w:pPr>
      <w:r>
        <w:rPr>
          <w:color w:val="1A2B3C"/>
          <w:sz w:val="20"/>
          <w:szCs w:val="20"/>
          <w:rFonts w:ascii="微软雅黑" w:cs="微软雅黑" w:eastAsia="微软雅黑" w:hAnsi="微软雅黑"/>
        </w:rPr>
        <w:t xml:space="preserve">• 标准知识接口便于与既有业务系统集成。</w:t>
      </w:r>
    </w:p>
    <w:p>
      <w:pPr>
        <w:pStyle w:val="Heading2"/>
        <w:spacing w:before="280" w:after="160"/>
      </w:pPr>
      <w:r>
        <w:rPr>
          <w:b/>
          <w:bCs/>
          <w:color w:val="1E5A86"/>
          <w:sz w:val="26"/>
          <w:szCs w:val="26"/>
          <w:rFonts w:ascii="微软雅黑" w:cs="微软雅黑" w:eastAsia="微软雅黑" w:hAnsi="微软雅黑"/>
        </w:rPr>
        <w:t xml:space="preserve">7.2 建议推进节奏</w:t>
      </w:r>
    </w:p>
    <w:p>
      <w:pPr>
        <w:spacing w:after="160" w:before="0" w:line="360"/>
      </w:pPr>
      <w:r>
        <w:rPr>
          <w:i/>
          <w:iCs/>
          <w:color w:val="5A6D7E"/>
          <w:sz w:val="18"/>
          <w:szCs w:val="18"/>
          <w:rFonts w:ascii="微软雅黑" w:cs="微软雅黑" w:eastAsia="微软雅黑" w:hAnsi="微软雅黑"/>
        </w:rPr>
        <w:t xml:space="preserve">【示意图】图7 建议建设节奏（生成时未能拉取在线图形，请参阅 HTML 版）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阶段</w:t>
            </w:r>
          </w:p>
        </w:tc>
        <w:tc>
          <w:tcPr>
            <w:tcW w:type="dxa" w:w="3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目标</w:t>
            </w:r>
          </w:p>
        </w:tc>
        <w:tc>
          <w:tcPr>
            <w:tcW w:type="dxa" w:w="4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  <w:shd w:fill="E8F1F8" w:val="clear"/>
          </w:tcPr>
          <w:p>
            <w:pPr>
              <w:spacing w:after="40" w:before="40"/>
            </w:pPr>
            <w:r>
              <w:rPr>
                <w:b/>
                <w:bCs/>
                <w:color w:val="1E5A86"/>
                <w:sz w:val="18"/>
                <w:szCs w:val="18"/>
                <w:rFonts w:ascii="微软雅黑" w:cs="微软雅黑" w:eastAsia="微软雅黑" w:hAnsi="微软雅黑"/>
              </w:rPr>
              <w:t xml:space="preserve">衡量方式（示例）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阶段一</w:t>
            </w:r>
          </w:p>
        </w:tc>
        <w:tc>
          <w:tcPr>
            <w:tcW w:type="dxa" w:w="3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核心资料可检索、权限清晰</w:t>
            </w:r>
          </w:p>
        </w:tc>
        <w:tc>
          <w:tcPr>
            <w:tcW w:type="dxa" w:w="4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入库覆盖率、发布通过率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阶段二</w:t>
            </w:r>
          </w:p>
        </w:tc>
        <w:tc>
          <w:tcPr>
            <w:tcW w:type="dxa" w:w="3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高频问题可带依据回答</w:t>
            </w:r>
          </w:p>
        </w:tc>
        <w:tc>
          <w:tcPr>
            <w:tcW w:type="dxa" w:w="4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引用完整率、用户有效反馈占比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阶段三</w:t>
            </w:r>
          </w:p>
        </w:tc>
        <w:tc>
          <w:tcPr>
            <w:tcW w:type="dxa" w:w="3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缺口可分派、可关闭、可复测</w:t>
            </w:r>
          </w:p>
        </w:tc>
        <w:tc>
          <w:tcPr>
            <w:tcW w:type="dxa" w:w="4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需求池关闭周期、复测通过率</w:t>
            </w:r>
          </w:p>
        </w:tc>
      </w:tr>
      <w:tr>
        <w:tc>
          <w:tcPr>
            <w:tcW w:type="dxa" w:w="16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阶段四</w:t>
            </w:r>
          </w:p>
        </w:tc>
        <w:tc>
          <w:tcPr>
            <w:tcW w:type="dxa" w:w="320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业务系统稳定调用知识服务</w:t>
            </w:r>
          </w:p>
        </w:tc>
        <w:tc>
          <w:tcPr>
            <w:tcW w:type="dxa" w:w="4220"/>
            <w:tcBorders>
              <w:top w:val="single" w:color="D5DEE7" w:sz="4"/>
              <w:left w:val="single" w:color="D5DEE7" w:sz="4"/>
              <w:bottom w:val="single" w:color="D5DEE7" w:sz="4"/>
              <w:right w:val="single" w:color="D5DEE7" w:sz="4"/>
            </w:tcBorders>
          </w:tcPr>
          <w:p>
            <w:pPr>
              <w:spacing w:after="40" w:before="40"/>
            </w:pPr>
            <w:r>
              <w:rPr>
                <w:b w:val="false"/>
                <w:bCs w:val="false"/>
                <w:color w:val="1A2B3C"/>
                <w:sz w:val="18"/>
                <w:szCs w:val="18"/>
                <w:rFonts w:ascii="微软雅黑" w:cs="微软雅黑" w:eastAsia="微软雅黑" w:hAnsi="微软雅黑"/>
              </w:rPr>
              <w:t xml:space="preserve">接口成功率、越权拦截审计</w:t>
            </w:r>
          </w:p>
        </w:tc>
      </w:tr>
    </w:tbl>
    <w:p>
      <w:pPr>
        <w:spacing w:after="80" w:before="360" w:line="360"/>
        <w:jc w:val="center"/>
      </w:pPr>
      <w:r>
        <w:rPr>
          <w:color w:val="5A6D7E"/>
          <w:sz w:val="21"/>
          <w:szCs w:val="21"/>
          <w:rFonts w:ascii="微软雅黑" w:cs="微软雅黑" w:eastAsia="微软雅黑" w:hAnsi="微软雅黑"/>
        </w:rPr>
        <w:t xml:space="preserve">— 完 —</w:t>
      </w:r>
    </w:p>
    <w:p>
      <w:pPr>
        <w:spacing w:after="160" w:before="0" w:line="360"/>
        <w:jc w:val="center"/>
      </w:pPr>
      <w:r>
        <w:rPr>
          <w:color w:val="5A6D7E"/>
          <w:sz w:val="17"/>
          <w:szCs w:val="17"/>
          <w:rFonts w:ascii="微软雅黑" w:cs="微软雅黑" w:eastAsia="微软雅黑" w:hAnsi="微软雅黑"/>
        </w:rPr>
        <w:t xml:space="preserve">技术实现以现行 X-RAG 企业知识平台代码与配置为准。</w:t>
      </w:r>
    </w:p>
    <w:sectPr>
      <w:headerReference w:type="default" r:id="rId6"/>
      <w:footerReference w:type="default" r:id="rId7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D7E"/>
        <w:sz w:val="16"/>
        <w:szCs w:val="16"/>
        <w:rFonts w:ascii="微软雅黑" w:cs="微软雅黑" w:eastAsia="微软雅黑" w:hAnsi="微软雅黑"/>
      </w:rPr>
      <w:t xml:space="preserve">第 </w:t>
    </w:r>
    <w:r>
      <w:rPr>
        <w:color w:val="5A6D7E"/>
        <w:sz w:val="16"/>
        <w:szCs w:val="16"/>
        <w:rFonts w:ascii="微软雅黑" w:cs="微软雅黑" w:eastAsia="微软雅黑" w:hAnsi="微软雅黑"/>
      </w:rPr>
      <w:fldChar w:fldCharType="begin"/>
      <w:instrText xml:space="preserve">PAGE</w:instrText>
      <w:fldChar w:fldCharType="separate"/>
      <w:fldChar w:fldCharType="end"/>
    </w:r>
    <w:r>
      <w:rPr>
        <w:color w:val="5A6D7E"/>
        <w:sz w:val="16"/>
        <w:szCs w:val="16"/>
        <w:rFonts w:ascii="微软雅黑" w:cs="微软雅黑" w:eastAsia="微软雅黑" w:hAnsi="微软雅黑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60"/>
    </w:pPr>
    <w:r>
      <w:rPr>
        <w:color w:val="5A6D7E"/>
        <w:sz w:val="16"/>
        <w:szCs w:val="16"/>
        <w:rFonts w:ascii="微软雅黑" w:cs="微软雅黑" w:eastAsia="微软雅黑" w:hAnsi="微软雅黑"/>
      </w:rPr>
      <w:t xml:space="preserve">企业多模态知识库平台介绍 · X-RAG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企业多模态知识库平台介绍</dc:title>
  <dc:creator>X-RAG</dc:creator>
  <dc:description>面向决策层的企业多模态知识库平台总体介绍</dc:description>
  <cp:lastModifiedBy>Un-named</cp:lastModifiedBy>
  <cp:revision>1</cp:revision>
  <dcterms:created xsi:type="dcterms:W3CDTF">2026-09-09T05:40:04.631Z</dcterms:created>
  <dcterms:modified xsi:type="dcterms:W3CDTF">2026-09-09T05:40:04.641Z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