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采购制度</w:t>
      </w:r>
    </w:p>
    <w:p>
      <w:r>
        <w:t>采购金额超过十万元应履行审批程序。</w:t>
      </w:r>
    </w:p>
    <w:tbl>
      <w:tr>
        <w:tc>
          <w:p>
            <w:r>
              <w:t>项目</w:t>
            </w:r>
          </w:p>
        </w:tc>
        <w:tc>
          <w:p>
            <w:r>
              <w:t>金额</w:t>
            </w:r>
          </w:p>
        </w:tc>
      </w:tr>
      <w:tr>
        <w:tc>
          <w:p>
            <w:r>
              <w:t>软件</w:t>
            </w:r>
          </w:p>
        </w:tc>
        <w:tc>
          <w:p>
            <w:r>
              <w:t>100000</w:t>
            </w:r>
          </w:p>
        </w:tc>
      </w:tr>
    </w:tbl>
    <w:p>
      <w:r>
        <w:br w:type="page"/>
        <w:t>第二逻辑页：归档保存五年。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