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F62" w:rsidRDefault="00B63B9F">
      <w:pPr>
        <w:pStyle w:val="1"/>
        <w:spacing w:line="24" w:lineRule="atLeast"/>
        <w:rPr>
          <w:rFonts w:hint="default"/>
        </w:rPr>
      </w:pPr>
      <w:r>
        <w:rPr>
          <w:color w:val="333333"/>
        </w:rPr>
        <w:t>基于OMAPL138平台的DTU设计方案说明</w:t>
      </w:r>
    </w:p>
    <w:p w:rsidR="007C4F62" w:rsidRDefault="00B63B9F">
      <w:pPr>
        <w:numPr>
          <w:ilvl w:val="0"/>
          <w:numId w:val="1"/>
        </w:numPr>
        <w:spacing w:beforeAutospacing="1" w:afterAutospacing="1" w:line="24" w:lineRule="atLeast"/>
      </w:pPr>
      <w:r>
        <w:rPr>
          <w:rFonts w:ascii="Helvetica" w:eastAsia="Helvetica" w:hAnsi="Helvetica" w:cs="Helvetica"/>
          <w:color w:val="333333"/>
          <w:sz w:val="21"/>
          <w:szCs w:val="21"/>
        </w:rPr>
        <w:t>总体设计:</w:t>
      </w:r>
      <w:r>
        <w:rPr>
          <w:rFonts w:ascii="Helvetica" w:eastAsia="Helvetica" w:hAnsi="Helvetica" w:cs="Helvetica"/>
          <w:color w:val="333333"/>
          <w:sz w:val="21"/>
          <w:szCs w:val="21"/>
        </w:rPr>
        <w:br/>
        <w:t>总体按十六回设计，4U高，19英寸宽，12块插板，其中包括1块电源板，1块CpU板，5块AI板，4块I0板，1块扩展板。</w:t>
      </w:r>
    </w:p>
    <w:p w:rsidR="007C4F62" w:rsidRDefault="00B63B9F">
      <w:pPr>
        <w:numPr>
          <w:ilvl w:val="0"/>
          <w:numId w:val="1"/>
        </w:numPr>
        <w:spacing w:beforeAutospacing="1" w:afterAutospacing="1" w:line="24" w:lineRule="atLeast"/>
      </w:pPr>
      <w:r>
        <w:rPr>
          <w:rFonts w:ascii="Helvetica" w:eastAsia="Helvetica" w:hAnsi="Helvetica" w:cs="Helvetica"/>
          <w:color w:val="333333"/>
          <w:sz w:val="21"/>
          <w:szCs w:val="21"/>
        </w:rPr>
        <w:t>AI板1: 每块板可采1回电压，3回电流。包括4个电压,9个电流。</w:t>
      </w:r>
    </w:p>
    <w:p w:rsidR="007C4F62" w:rsidRDefault="00B63B9F">
      <w:pPr>
        <w:numPr>
          <w:ilvl w:val="0"/>
          <w:numId w:val="1"/>
        </w:numPr>
        <w:spacing w:beforeAutospacing="1" w:afterAutospacing="1" w:line="24" w:lineRule="atLeast"/>
      </w:pPr>
      <w:r>
        <w:rPr>
          <w:rFonts w:ascii="Helvetica" w:eastAsia="Helvetica" w:hAnsi="Helvetica" w:cs="Helvetica"/>
          <w:color w:val="333333"/>
          <w:sz w:val="21"/>
          <w:szCs w:val="21"/>
        </w:rPr>
        <w:t>AI板2： 每块板可采4回电流。包括12个电流。</w:t>
      </w:r>
    </w:p>
    <w:p w:rsidR="007C4F62" w:rsidRDefault="00B63B9F">
      <w:pPr>
        <w:numPr>
          <w:ilvl w:val="0"/>
          <w:numId w:val="1"/>
        </w:numPr>
        <w:spacing w:beforeAutospacing="1" w:afterAutospacing="1" w:line="24" w:lineRule="atLeast"/>
      </w:pPr>
      <w:r>
        <w:rPr>
          <w:rFonts w:ascii="Helvetica" w:eastAsia="Helvetica" w:hAnsi="Helvetica" w:cs="Helvetica"/>
          <w:color w:val="333333"/>
          <w:sz w:val="21"/>
          <w:szCs w:val="21"/>
        </w:rPr>
        <w:t>IO板： IO板用于遥信信号输入，控制信号输出。每块IO板有4回YX，YK。每回有6个YX，2个YK，总共有24个YX，8个YK。</w:t>
      </w:r>
    </w:p>
    <w:p w:rsidR="007C4F62" w:rsidRDefault="00B63B9F">
      <w:pPr>
        <w:numPr>
          <w:ilvl w:val="0"/>
          <w:numId w:val="1"/>
        </w:numPr>
        <w:spacing w:beforeAutospacing="1" w:afterAutospacing="1" w:line="24" w:lineRule="atLeast"/>
      </w:pPr>
      <w:r>
        <w:rPr>
          <w:rFonts w:ascii="Helvetica" w:eastAsia="Helvetica" w:hAnsi="Helvetica" w:cs="Helvetica"/>
          <w:color w:val="333333"/>
          <w:sz w:val="21"/>
          <w:szCs w:val="21"/>
        </w:rPr>
        <w:t>CPU板： 标配是有二个网口，四个串口，1个USB口。指示灯包括运行</w:t>
      </w:r>
      <w:r w:rsidR="00272D9F">
        <w:rPr>
          <w:rFonts w:ascii="Helvetica" w:hAnsi="Helvetica" w:cs="Helvetica" w:hint="eastAsia"/>
          <w:color w:val="333333"/>
          <w:sz w:val="21"/>
          <w:szCs w:val="21"/>
        </w:rPr>
        <w:t>灯</w:t>
      </w:r>
      <w:r>
        <w:rPr>
          <w:rFonts w:ascii="Helvetica" w:eastAsia="Helvetica" w:hAnsi="Helvetica" w:cs="Helvetica"/>
          <w:color w:val="333333"/>
          <w:sz w:val="21"/>
          <w:szCs w:val="21"/>
        </w:rPr>
        <w:t>、线路故障指示灯、终端故障灯、通讯指示灯、手动复归线路故障按键。</w:t>
      </w:r>
    </w:p>
    <w:p w:rsidR="00272D9F" w:rsidRPr="00272D9F" w:rsidRDefault="00B63B9F">
      <w:pPr>
        <w:numPr>
          <w:ilvl w:val="0"/>
          <w:numId w:val="1"/>
        </w:numPr>
        <w:spacing w:beforeAutospacing="1" w:afterAutospacing="1" w:line="24" w:lineRule="atLeast"/>
        <w:rPr>
          <w:rFonts w:hint="eastAsia"/>
        </w:rPr>
      </w:pPr>
      <w:r>
        <w:rPr>
          <w:rFonts w:ascii="Helvetica" w:eastAsia="Helvetica" w:hAnsi="Helvetica" w:cs="Helvetica"/>
          <w:color w:val="333333"/>
          <w:sz w:val="21"/>
          <w:szCs w:val="21"/>
        </w:rPr>
        <w:t xml:space="preserve">电源板： 24V输入，24V输出。4个公共YX，4个公共YK，2路直流。 提供电源管理功能（5个电源状态YX，3个电源控制YK）。 </w:t>
      </w:r>
    </w:p>
    <w:p w:rsidR="007C4F62" w:rsidRDefault="00B63B9F">
      <w:pPr>
        <w:numPr>
          <w:ilvl w:val="0"/>
          <w:numId w:val="1"/>
        </w:numPr>
        <w:spacing w:beforeAutospacing="1" w:afterAutospacing="1" w:line="24" w:lineRule="atLeast"/>
      </w:pPr>
      <w:r>
        <w:rPr>
          <w:rFonts w:ascii="Helvetica" w:eastAsia="Helvetica" w:hAnsi="Helvetica" w:cs="Helvetica"/>
          <w:color w:val="333333"/>
          <w:sz w:val="21"/>
          <w:szCs w:val="21"/>
        </w:rPr>
        <w:t xml:space="preserve"> 液晶板（可选）： 采用160*160单色液晶，7个按键（上下左右确认、取消、复归），LED指示灯22个（包括电源指示,运行灯,分回线线路故障指示灯,终端故障指示灯,通讯指示灯,交流供电指示灯,直流供电指示灯）,通讯接口为串口。</w:t>
      </w:r>
    </w:p>
    <w:p w:rsidR="007C4F62" w:rsidRDefault="00B63B9F">
      <w:pPr>
        <w:numPr>
          <w:ilvl w:val="0"/>
          <w:numId w:val="1"/>
        </w:numPr>
        <w:spacing w:beforeAutospacing="1" w:afterAutospacing="1" w:line="24" w:lineRule="atLeast"/>
      </w:pPr>
      <w:r>
        <w:rPr>
          <w:rFonts w:ascii="Helvetica" w:eastAsia="Helvetica" w:hAnsi="Helvetica" w:cs="Helvetica"/>
          <w:color w:val="333333"/>
          <w:sz w:val="21"/>
          <w:szCs w:val="21"/>
        </w:rPr>
        <w:t>扩展板： 支持GPRS、GPS、短距离无线，2路串口。</w:t>
      </w:r>
    </w:p>
    <w:p w:rsidR="007C4F62" w:rsidRDefault="00B63B9F">
      <w:pPr>
        <w:numPr>
          <w:ilvl w:val="0"/>
          <w:numId w:val="1"/>
        </w:numPr>
        <w:spacing w:beforeAutospacing="1" w:afterAutospacing="1" w:line="24" w:lineRule="atLeast"/>
      </w:pPr>
      <w:r>
        <w:rPr>
          <w:rFonts w:ascii="Helvetica" w:eastAsia="Helvetica" w:hAnsi="Helvetica" w:cs="Helvetica"/>
          <w:color w:val="333333"/>
          <w:sz w:val="21"/>
          <w:szCs w:val="21"/>
        </w:rPr>
        <w:t>平台选择： CPU选择TI公司的OMAPL138平台，该cpu包括Arm926ej和C674两个核，其中Arm核运行于Linux操作系统，C674Dsp核运行Sysbios系统。二个内核之间通过syslink进行通信。</w:t>
      </w:r>
    </w:p>
    <w:p w:rsidR="007C4F62" w:rsidRDefault="00B63B9F">
      <w:pPr>
        <w:numPr>
          <w:ilvl w:val="0"/>
          <w:numId w:val="1"/>
        </w:numPr>
        <w:spacing w:beforeAutospacing="1" w:afterAutospacing="1" w:line="24" w:lineRule="atLeast"/>
      </w:pPr>
      <w:r>
        <w:rPr>
          <w:rFonts w:ascii="Helvetica" w:eastAsia="Helvetica" w:hAnsi="Helvetica" w:cs="Helvetica"/>
          <w:color w:val="333333"/>
          <w:sz w:val="21"/>
          <w:szCs w:val="21"/>
        </w:rPr>
        <w:t>总线： 采用数字总线技术，子板和cpu板之间通过数字总线通信。</w:t>
      </w:r>
    </w:p>
    <w:p w:rsidR="007C4F62" w:rsidRDefault="007C4F62">
      <w:pPr>
        <w:spacing w:line="24" w:lineRule="atLeast"/>
        <w:rPr>
          <w:rFonts w:ascii="Helvetica" w:eastAsia="Helvetica" w:hAnsi="Helvetica" w:cs="Helvetica"/>
          <w:color w:val="333333"/>
          <w:sz w:val="21"/>
          <w:szCs w:val="21"/>
        </w:rPr>
      </w:pPr>
    </w:p>
    <w:p w:rsidR="007C4F62" w:rsidRDefault="007C4F62">
      <w:pPr>
        <w:spacing w:line="24" w:lineRule="atLeast"/>
        <w:rPr>
          <w:rFonts w:ascii="Helvetica" w:eastAsia="Helvetica" w:hAnsi="Helvetica" w:cs="Helvetica"/>
          <w:color w:val="333333"/>
          <w:sz w:val="21"/>
          <w:szCs w:val="21"/>
        </w:rPr>
        <w:sectPr w:rsidR="007C4F62">
          <w:pgSz w:w="11906" w:h="16839"/>
          <w:pgMar w:top="1440" w:right="1800" w:bottom="1440" w:left="1800" w:header="851" w:footer="992" w:gutter="0"/>
          <w:cols w:space="0"/>
        </w:sectPr>
      </w:pPr>
    </w:p>
    <w:p w:rsidR="007C4F62" w:rsidRDefault="00B63B9F">
      <w:pPr>
        <w:spacing w:line="24" w:lineRule="atLeast"/>
        <w:rPr>
          <w:rFonts w:ascii="Helvetica" w:eastAsia="Helvetica" w:hAnsi="Helvetica" w:cs="Helvetica"/>
          <w:color w:val="333333"/>
          <w:sz w:val="21"/>
          <w:szCs w:val="21"/>
        </w:rPr>
      </w:pPr>
      <w:r>
        <w:rPr>
          <w:rFonts w:ascii="Helvetica" w:eastAsia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114300" distR="114300">
            <wp:extent cx="8678545" cy="4412615"/>
            <wp:effectExtent l="0" t="0" r="8255" b="6985"/>
            <wp:docPr id="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78545" cy="441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4F62" w:rsidRDefault="007C4F62">
      <w:pPr>
        <w:spacing w:line="24" w:lineRule="atLeast"/>
        <w:rPr>
          <w:rFonts w:ascii="Helvetica" w:eastAsia="Helvetica" w:hAnsi="Helvetica" w:cs="Helvetica"/>
          <w:color w:val="333333"/>
          <w:sz w:val="21"/>
          <w:szCs w:val="21"/>
        </w:rPr>
      </w:pPr>
    </w:p>
    <w:p w:rsidR="007C4F62" w:rsidRPr="00E44EB3" w:rsidRDefault="00E44EB3" w:rsidP="00E44EB3">
      <w:pPr>
        <w:spacing w:line="24" w:lineRule="atLeast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背后图</w:t>
      </w:r>
    </w:p>
    <w:p w:rsidR="007C4F62" w:rsidRDefault="007C4F62">
      <w:pPr>
        <w:spacing w:line="24" w:lineRule="atLeast"/>
        <w:rPr>
          <w:rFonts w:ascii="Helvetica" w:eastAsia="Helvetica" w:hAnsi="Helvetica" w:cs="Helvetica"/>
          <w:color w:val="333333"/>
          <w:sz w:val="21"/>
          <w:szCs w:val="21"/>
        </w:rPr>
      </w:pPr>
    </w:p>
    <w:p w:rsidR="007C4F62" w:rsidRDefault="007C4F62">
      <w:pPr>
        <w:spacing w:line="24" w:lineRule="atLeast"/>
        <w:rPr>
          <w:rFonts w:ascii="Helvetica" w:eastAsia="Helvetica" w:hAnsi="Helvetica" w:cs="Helvetica"/>
          <w:color w:val="333333"/>
          <w:sz w:val="21"/>
          <w:szCs w:val="21"/>
        </w:rPr>
      </w:pPr>
    </w:p>
    <w:p w:rsidR="007C4F62" w:rsidRDefault="007C4F62">
      <w:pPr>
        <w:spacing w:line="24" w:lineRule="atLeast"/>
        <w:rPr>
          <w:rFonts w:ascii="Helvetica" w:eastAsia="Helvetica" w:hAnsi="Helvetica" w:cs="Helvetica"/>
          <w:color w:val="333333"/>
          <w:sz w:val="21"/>
          <w:szCs w:val="21"/>
        </w:rPr>
      </w:pPr>
    </w:p>
    <w:p w:rsidR="007C4F62" w:rsidRDefault="00B63B9F">
      <w:pPr>
        <w:spacing w:line="24" w:lineRule="atLeast"/>
        <w:rPr>
          <w:rFonts w:ascii="Helvetica" w:eastAsia="Helvetica" w:hAnsi="Helvetica" w:cs="Helvetica"/>
          <w:color w:val="333333"/>
          <w:sz w:val="21"/>
          <w:szCs w:val="21"/>
        </w:rPr>
      </w:pPr>
      <w:r>
        <w:rPr>
          <w:rFonts w:ascii="Helvetica" w:eastAsia="Helvetica" w:hAnsi="Helvetica" w:cs="Helvetica"/>
          <w:noProof/>
          <w:color w:val="333333"/>
          <w:sz w:val="21"/>
          <w:szCs w:val="21"/>
        </w:rPr>
        <w:drawing>
          <wp:inline distT="0" distB="0" distL="114300" distR="114300">
            <wp:extent cx="9248775" cy="3600450"/>
            <wp:effectExtent l="0" t="0" r="9525" b="0"/>
            <wp:docPr id="2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487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4F62" w:rsidRDefault="007C4F62">
      <w:pPr>
        <w:spacing w:line="24" w:lineRule="atLeast"/>
        <w:rPr>
          <w:rFonts w:ascii="Helvetica" w:eastAsia="Helvetica" w:hAnsi="Helvetica" w:cs="Helvetica"/>
          <w:color w:val="333333"/>
          <w:sz w:val="21"/>
          <w:szCs w:val="21"/>
        </w:rPr>
      </w:pPr>
    </w:p>
    <w:p w:rsidR="007C4F62" w:rsidRPr="00E44EB3" w:rsidRDefault="00E44EB3" w:rsidP="00E44EB3">
      <w:pPr>
        <w:spacing w:line="24" w:lineRule="atLeast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前面板图</w:t>
      </w:r>
      <w:r>
        <w:rPr>
          <w:rFonts w:ascii="Helvetica" w:hAnsi="Helvetica" w:cs="Helvetica" w:hint="eastAsia"/>
          <w:color w:val="333333"/>
          <w:sz w:val="21"/>
          <w:szCs w:val="21"/>
        </w:rPr>
        <w:t>(</w:t>
      </w:r>
      <w:r>
        <w:rPr>
          <w:rFonts w:ascii="Helvetica" w:hAnsi="Helvetica" w:cs="Helvetica" w:hint="eastAsia"/>
          <w:color w:val="333333"/>
          <w:sz w:val="21"/>
          <w:szCs w:val="21"/>
        </w:rPr>
        <w:t>前面板可选</w:t>
      </w:r>
      <w:r>
        <w:rPr>
          <w:rFonts w:ascii="Helvetica" w:hAnsi="Helvetica" w:cs="Helvetica" w:hint="eastAsia"/>
          <w:color w:val="333333"/>
          <w:sz w:val="21"/>
          <w:szCs w:val="21"/>
        </w:rPr>
        <w:t>,</w:t>
      </w:r>
      <w:r>
        <w:rPr>
          <w:rFonts w:ascii="Helvetica" w:hAnsi="Helvetica" w:cs="Helvetica" w:hint="eastAsia"/>
          <w:color w:val="333333"/>
          <w:sz w:val="21"/>
          <w:szCs w:val="21"/>
        </w:rPr>
        <w:t>如果不用则只有后面板</w:t>
      </w:r>
      <w:r>
        <w:rPr>
          <w:rFonts w:ascii="Helvetica" w:hAnsi="Helvetica" w:cs="Helvetica" w:hint="eastAsia"/>
          <w:color w:val="333333"/>
          <w:sz w:val="21"/>
          <w:szCs w:val="21"/>
        </w:rPr>
        <w:t>)</w:t>
      </w:r>
    </w:p>
    <w:p w:rsidR="007C4F62" w:rsidRDefault="007C4F62">
      <w:pPr>
        <w:spacing w:line="24" w:lineRule="atLeast"/>
        <w:rPr>
          <w:rFonts w:ascii="Helvetica" w:eastAsia="Helvetica" w:hAnsi="Helvetica" w:cs="Helvetica"/>
          <w:color w:val="333333"/>
          <w:sz w:val="21"/>
          <w:szCs w:val="21"/>
        </w:rPr>
      </w:pPr>
    </w:p>
    <w:p w:rsidR="007C4F62" w:rsidRDefault="007C4F62">
      <w:pPr>
        <w:spacing w:line="24" w:lineRule="atLeast"/>
        <w:rPr>
          <w:rFonts w:ascii="Helvetica" w:eastAsia="Helvetica" w:hAnsi="Helvetica" w:cs="Helvetica"/>
          <w:color w:val="333333"/>
          <w:sz w:val="21"/>
          <w:szCs w:val="21"/>
        </w:rPr>
      </w:pPr>
      <w:bookmarkStart w:id="0" w:name="_GoBack"/>
      <w:bookmarkEnd w:id="0"/>
    </w:p>
    <w:p w:rsidR="007C4F62" w:rsidRDefault="007C4F62">
      <w:pPr>
        <w:spacing w:line="24" w:lineRule="atLeast"/>
        <w:rPr>
          <w:rFonts w:ascii="Helvetica" w:eastAsia="Helvetica" w:hAnsi="Helvetica" w:cs="Helvetica"/>
          <w:color w:val="333333"/>
          <w:sz w:val="21"/>
          <w:szCs w:val="21"/>
        </w:rPr>
      </w:pPr>
    </w:p>
    <w:p w:rsidR="007C4F62" w:rsidRDefault="007C4F62">
      <w:pPr>
        <w:spacing w:line="24" w:lineRule="atLeast"/>
        <w:rPr>
          <w:rFonts w:ascii="Helvetica" w:eastAsia="Helvetica" w:hAnsi="Helvetica" w:cs="Helvetica"/>
          <w:color w:val="333333"/>
          <w:sz w:val="21"/>
          <w:szCs w:val="21"/>
        </w:rPr>
      </w:pPr>
    </w:p>
    <w:p w:rsidR="007C4F62" w:rsidRDefault="00B63B9F">
      <w:pPr>
        <w:spacing w:line="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eastAsia="Helvetica" w:hAnsi="Helvetica" w:cs="Helvetica"/>
          <w:noProof/>
          <w:color w:val="333333"/>
          <w:sz w:val="21"/>
          <w:szCs w:val="21"/>
        </w:rPr>
        <w:drawing>
          <wp:inline distT="0" distB="0" distL="114300" distR="114300">
            <wp:extent cx="8820785" cy="2386330"/>
            <wp:effectExtent l="0" t="0" r="18415" b="13970"/>
            <wp:docPr id="3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2078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44EB3" w:rsidRDefault="00E44EB3">
      <w:pPr>
        <w:spacing w:line="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此价格包括了机箱价格</w:t>
      </w:r>
      <w:r>
        <w:rPr>
          <w:rFonts w:ascii="Helvetica" w:hAnsi="Helvetica" w:cs="Helvetica" w:hint="eastAsia"/>
          <w:color w:val="333333"/>
          <w:sz w:val="21"/>
          <w:szCs w:val="21"/>
        </w:rPr>
        <w:t>.</w:t>
      </w:r>
      <w:r>
        <w:rPr>
          <w:rFonts w:ascii="Helvetica" w:hAnsi="Helvetica" w:cs="Helvetica" w:hint="eastAsia"/>
          <w:color w:val="333333"/>
          <w:sz w:val="21"/>
          <w:szCs w:val="21"/>
        </w:rPr>
        <w:t>是否能够达到你们的目标</w:t>
      </w:r>
      <w:r>
        <w:rPr>
          <w:rFonts w:ascii="Helvetica" w:hAnsi="Helvetica" w:cs="Helvetica" w:hint="eastAsia"/>
          <w:color w:val="333333"/>
          <w:sz w:val="21"/>
          <w:szCs w:val="21"/>
        </w:rPr>
        <w:t>?</w:t>
      </w:r>
    </w:p>
    <w:p w:rsidR="00E44EB3" w:rsidRPr="00E44EB3" w:rsidRDefault="00E44EB3">
      <w:pPr>
        <w:spacing w:line="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其中的有些器件的价格我没有仔细核</w:t>
      </w:r>
      <w:r>
        <w:rPr>
          <w:rFonts w:ascii="Helvetica" w:hAnsi="Helvetica" w:cs="Helvetica" w:hint="eastAsia"/>
          <w:color w:val="333333"/>
          <w:sz w:val="21"/>
          <w:szCs w:val="21"/>
        </w:rPr>
        <w:t>,</w:t>
      </w:r>
      <w:r>
        <w:rPr>
          <w:rFonts w:ascii="Helvetica" w:hAnsi="Helvetica" w:cs="Helvetica" w:hint="eastAsia"/>
          <w:color w:val="333333"/>
          <w:sz w:val="21"/>
          <w:szCs w:val="21"/>
        </w:rPr>
        <w:t>现在价格可能会降低了些</w:t>
      </w:r>
      <w:r>
        <w:rPr>
          <w:rFonts w:ascii="Helvetica" w:hAnsi="Helvetica" w:cs="Helvetica" w:hint="eastAsia"/>
          <w:color w:val="333333"/>
          <w:sz w:val="21"/>
          <w:szCs w:val="21"/>
        </w:rPr>
        <w:t>.</w:t>
      </w:r>
    </w:p>
    <w:p w:rsidR="007C4F62" w:rsidRDefault="007C4F62">
      <w:pPr>
        <w:spacing w:line="24" w:lineRule="atLeast"/>
        <w:rPr>
          <w:rFonts w:ascii="Helvetica" w:eastAsia="Helvetica" w:hAnsi="Helvetica" w:cs="Helvetica"/>
          <w:color w:val="333333"/>
          <w:sz w:val="21"/>
          <w:szCs w:val="21"/>
        </w:rPr>
      </w:pPr>
    </w:p>
    <w:p w:rsidR="007C4F62" w:rsidRDefault="007C4F62"/>
    <w:sectPr w:rsidR="007C4F62" w:rsidSect="007C4F6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42D" w:rsidRDefault="0042742D" w:rsidP="00F07AD8">
      <w:r>
        <w:separator/>
      </w:r>
    </w:p>
  </w:endnote>
  <w:endnote w:type="continuationSeparator" w:id="1">
    <w:p w:rsidR="0042742D" w:rsidRDefault="0042742D" w:rsidP="00F07A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42D" w:rsidRDefault="0042742D" w:rsidP="00F07AD8">
      <w:r>
        <w:separator/>
      </w:r>
    </w:p>
  </w:footnote>
  <w:footnote w:type="continuationSeparator" w:id="1">
    <w:p w:rsidR="0042742D" w:rsidRDefault="0042742D" w:rsidP="00F07A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07A9F6F"/>
    <w:multiLevelType w:val="multilevel"/>
    <w:tmpl w:val="D07A9F6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BB23B95"/>
    <w:rsid w:val="0016287E"/>
    <w:rsid w:val="00272D9F"/>
    <w:rsid w:val="0042742D"/>
    <w:rsid w:val="007C4F62"/>
    <w:rsid w:val="00B63B9F"/>
    <w:rsid w:val="00E44EB3"/>
    <w:rsid w:val="00F07AD8"/>
    <w:rsid w:val="1BB23B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4F62"/>
    <w:rPr>
      <w:rFonts w:asciiTheme="minorEastAsia" w:eastAsiaTheme="minorEastAsia" w:hAnsiTheme="minorEastAsia"/>
      <w:sz w:val="24"/>
      <w:szCs w:val="24"/>
    </w:rPr>
  </w:style>
  <w:style w:type="paragraph" w:styleId="1">
    <w:name w:val="heading 1"/>
    <w:basedOn w:val="a"/>
    <w:next w:val="a"/>
    <w:qFormat/>
    <w:rsid w:val="007C4F62"/>
    <w:pPr>
      <w:spacing w:beforeAutospacing="1" w:afterAutospacing="1"/>
      <w:outlineLvl w:val="0"/>
    </w:pPr>
    <w:rPr>
      <w:rFonts w:ascii="宋体" w:eastAsia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F07AD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rsid w:val="00F07AD8"/>
    <w:rPr>
      <w:rFonts w:ascii="宋体" w:hAnsiTheme="minorEastAsia"/>
      <w:sz w:val="18"/>
      <w:szCs w:val="18"/>
    </w:rPr>
  </w:style>
  <w:style w:type="paragraph" w:styleId="a4">
    <w:name w:val="header"/>
    <w:basedOn w:val="a"/>
    <w:link w:val="Char0"/>
    <w:rsid w:val="00F07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F07AD8"/>
    <w:rPr>
      <w:rFonts w:asciiTheme="minorEastAsia" w:eastAsiaTheme="minorEastAsia" w:hAnsiTheme="minorEastAsia"/>
      <w:sz w:val="18"/>
      <w:szCs w:val="18"/>
    </w:rPr>
  </w:style>
  <w:style w:type="paragraph" w:styleId="a5">
    <w:name w:val="footer"/>
    <w:basedOn w:val="a"/>
    <w:link w:val="Char1"/>
    <w:rsid w:val="00F07A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F07AD8"/>
    <w:rPr>
      <w:rFonts w:asciiTheme="minorEastAsia" w:eastAsiaTheme="minorEastAsia" w:hAnsiTheme="minorEastAsia"/>
      <w:sz w:val="18"/>
      <w:szCs w:val="18"/>
    </w:rPr>
  </w:style>
  <w:style w:type="paragraph" w:styleId="a6">
    <w:name w:val="Balloon Text"/>
    <w:basedOn w:val="a"/>
    <w:link w:val="Char2"/>
    <w:rsid w:val="00F07AD8"/>
    <w:rPr>
      <w:sz w:val="18"/>
      <w:szCs w:val="18"/>
    </w:rPr>
  </w:style>
  <w:style w:type="character" w:customStyle="1" w:styleId="Char2">
    <w:name w:val="批注框文本 Char"/>
    <w:basedOn w:val="a0"/>
    <w:link w:val="a6"/>
    <w:rsid w:val="00F07AD8"/>
    <w:rPr>
      <w:rFonts w:asciiTheme="minorEastAsia" w:eastAsiaTheme="minorEastAsia" w:hAnsiTheme="minorEastAsi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109</Words>
  <Characters>626</Characters>
  <Application>Microsoft Office Word</Application>
  <DocSecurity>0</DocSecurity>
  <Lines>5</Lines>
  <Paragraphs>1</Paragraphs>
  <ScaleCrop>false</ScaleCrop>
  <Company>Sky123.Org</Company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hhj1407250686</dc:creator>
  <cp:lastModifiedBy>User</cp:lastModifiedBy>
  <cp:revision>4</cp:revision>
  <dcterms:created xsi:type="dcterms:W3CDTF">2020-04-10T03:10:00Z</dcterms:created>
  <dcterms:modified xsi:type="dcterms:W3CDTF">2020-04-10T05:30:00Z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