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国食药监械（准）字2019第123XXXX号</w:t>
      </w:r>
    </w:p>
    <w:p/>
    <w:p/>
    <w:p/>
    <w:p>
      <w:pPr>
        <w:jc w:val="center"/>
        <w:rPr>
          <w:rFonts w:eastAsia="文鼎ＰＬ简报宋"/>
          <w:b/>
          <w:bCs/>
          <w:sz w:val="36"/>
          <w:szCs w:val="36"/>
        </w:rPr>
      </w:pPr>
      <w:r>
        <w:rPr>
          <w:rFonts w:eastAsia="文鼎ＰＬ简报宋"/>
          <w:b/>
          <w:bCs/>
          <w:sz w:val="36"/>
          <w:szCs w:val="36"/>
        </w:rPr>
        <w:t>光纤静脉测压仪</w:t>
      </w: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1. 产品型号/规格及划分说明</w:t>
      </w:r>
    </w:p>
    <w:p>
      <w:p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1.1属性</w:t>
      </w:r>
    </w:p>
    <w:p>
      <w:pPr>
        <w:spacing w:line="360" w:lineRule="auto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</w:t>
      </w:r>
      <w:r>
        <w:rPr>
          <w:rFonts w:ascii="文鼎ＰＬ简报宋" w:hAnsi="文鼎ＰＬ简报宋" w:eastAsia="文鼎ＰＬ简报宋"/>
          <w:sz w:val="24"/>
          <w:szCs w:val="24"/>
        </w:rPr>
        <w:t>是一种用于测量食管静脉血压的产品，临床上主要用于肝硬化门静脉高压综合症的诊察和监护。</w:t>
      </w:r>
    </w:p>
    <w:p>
      <w:p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1.2型式</w:t>
      </w:r>
    </w:p>
    <w:p>
      <w:pPr>
        <w:pStyle w:val="57"/>
        <w:spacing w:line="360" w:lineRule="auto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光纤静脉测压仪为组合式产品，组合件包括仪器</w:t>
      </w:r>
      <w:r>
        <w:rPr>
          <w:rFonts w:ascii="文鼎ＰＬ简报宋" w:hAnsi="文鼎ＰＬ简报宋" w:eastAsia="文鼎ＰＬ简报宋"/>
          <w:bCs/>
          <w:sz w:val="24"/>
          <w:szCs w:val="24"/>
          <w:lang w:eastAsia="zh-CN"/>
        </w:rPr>
        <w:t>主机</w:t>
      </w:r>
      <w:r>
        <w:rPr>
          <w:rFonts w:ascii="文鼎ＰＬ简报宋" w:hAnsi="文鼎ＰＬ简报宋" w:eastAsia="文鼎ＰＬ简报宋"/>
          <w:bCs/>
          <w:sz w:val="24"/>
          <w:szCs w:val="24"/>
        </w:rPr>
        <w:t>、光纤导管和探头。其中仪器</w:t>
      </w:r>
      <w:r>
        <w:rPr>
          <w:rFonts w:ascii="文鼎ＰＬ简报宋" w:hAnsi="文鼎ＰＬ简报宋" w:eastAsia="文鼎ＰＬ简报宋"/>
          <w:bCs/>
          <w:sz w:val="24"/>
          <w:szCs w:val="24"/>
          <w:lang w:eastAsia="zh-CN"/>
        </w:rPr>
        <w:t>主</w:t>
      </w:r>
      <w:r>
        <w:rPr>
          <w:rFonts w:ascii="文鼎ＰＬ简报宋" w:hAnsi="文鼎ＰＬ简报宋" w:eastAsia="文鼎ＰＬ简报宋"/>
          <w:bCs/>
          <w:sz w:val="24"/>
          <w:szCs w:val="24"/>
        </w:rPr>
        <w:t>机为主体，光纤导管和探头为附件。</w:t>
      </w:r>
    </w:p>
    <w:p>
      <w:pPr>
        <w:pStyle w:val="57"/>
        <w:numPr>
          <w:ilvl w:val="1"/>
          <w:numId w:val="1"/>
        </w:num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编号规则</w:t>
      </w:r>
    </w:p>
    <w:p>
      <w:pPr>
        <w:pStyle w:val="57"/>
        <w:widowControl/>
        <w:numPr>
          <w:ilvl w:val="0"/>
          <w:numId w:val="0"/>
        </w:numPr>
        <w:bidi w:val="0"/>
        <w:spacing w:line="360" w:lineRule="auto"/>
        <w:ind w:firstLine="420"/>
        <w:jc w:val="left"/>
      </w:pPr>
      <w:r>
        <w:drawing>
          <wp:inline distT="0" distB="0" distL="0" distR="0">
            <wp:extent cx="4610100" cy="1922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306" t="48114" r="29981" b="115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文鼎ＰＬ简报宋" w:hAnsi="文鼎ＰＬ简报宋" w:eastAsia="文鼎ＰＬ简报宋"/>
          <w:b/>
          <w:bCs/>
          <w:sz w:val="24"/>
          <w:szCs w:val="24"/>
        </w:rPr>
        <w:t>2.性能指标</w:t>
      </w: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2.1结构要求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2.1.1外观</w:t>
      </w:r>
    </w:p>
    <w:p>
      <w:pPr>
        <w:ind w:firstLine="420" w:firstLineChars="0"/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主机</w:t>
      </w: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采用便携式工控机箱，其</w:t>
      </w: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外</w:t>
      </w: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观应符合本要求附录1中对外形尺寸的要求</w:t>
      </w: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2.1.2 材质要求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主机外壳应当采用无毒，绝缘，阻燃材料构成。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2.1.2.1主机的外壳应当有足够的机械强度，外物撞击所造成的形变应当不影响主机的正常工作。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2.1.2.2主机的外壳应当符合GB/T 5169.11对阻燃的要求。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2.1.3 表面涂覆及防护要求</w:t>
      </w:r>
    </w:p>
    <w:p>
      <w:pPr>
        <w:pStyle w:val="58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2.1.3.1在正常运行条件下可能受到腐蚀或能生锈的金属部分，应有防锈、防腐的涂层或镀层。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2.1.3.2主机的外壳应当符合GB/T 4208中规定的IP51要求，即防尘和防滴水。</w:t>
      </w:r>
    </w:p>
    <w:p>
      <w:pPr>
        <w:ind w:firstLine="420" w:firstLineChars="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  <w:lang w:val="en-US" w:eastAsia="zh-CN"/>
        </w:rPr>
        <w:t>2.1.3.3</w:t>
      </w:r>
      <w:r>
        <w:rPr>
          <w:rFonts w:hint="eastAsia" w:ascii="宋体" w:hAnsi="宋体" w:eastAsia="宋体"/>
          <w:kern w:val="0"/>
          <w:szCs w:val="21"/>
          <w:lang w:eastAsia="zh-CN"/>
        </w:rPr>
        <w:t>主机</w:t>
      </w:r>
      <w:r>
        <w:rPr>
          <w:rFonts w:ascii="宋体" w:hAnsi="宋体"/>
          <w:kern w:val="0"/>
          <w:szCs w:val="21"/>
        </w:rPr>
        <w:t>出厂前应使用塑料薄膜或塑料罩保护，且保护膜或塑料罩去除后不应在终端结构主体表面留下痕迹</w:t>
      </w:r>
      <w:r>
        <w:rPr>
          <w:rFonts w:hint="eastAsia" w:ascii="宋体" w:hAnsi="宋体"/>
          <w:kern w:val="0"/>
          <w:szCs w:val="21"/>
        </w:rPr>
        <w:t>；</w:t>
      </w:r>
    </w:p>
    <w:p>
      <w:pPr>
        <w:ind w:firstLine="420" w:firstLineChars="0"/>
        <w:rPr>
          <w:rFonts w:hint="eastAsia" w:ascii="宋体" w:hAnsi="宋体" w:eastAsia="宋体"/>
          <w:kern w:val="0"/>
          <w:szCs w:val="21"/>
          <w:lang w:val="en-US" w:eastAsia="zh-CN"/>
        </w:rPr>
      </w:pPr>
      <w:r>
        <w:rPr>
          <w:rFonts w:hint="eastAsia" w:ascii="宋体" w:hAnsi="宋体" w:eastAsia="宋体"/>
          <w:kern w:val="0"/>
          <w:szCs w:val="21"/>
          <w:lang w:val="en-US" w:eastAsia="zh-CN"/>
        </w:rPr>
        <w:t>2.1.3.4</w:t>
      </w:r>
      <w:r>
        <w:rPr>
          <w:rFonts w:hint="eastAsia" w:ascii="宋体" w:hAnsi="宋体" w:eastAsia="宋体"/>
          <w:kern w:val="0"/>
          <w:szCs w:val="21"/>
          <w:lang w:eastAsia="zh-CN"/>
        </w:rPr>
        <w:t>探头为一次性器件</w:t>
      </w:r>
      <w:r>
        <w:rPr>
          <w:rFonts w:hint="eastAsia" w:ascii="宋体" w:hAnsi="宋体" w:eastAsia="宋体"/>
          <w:kern w:val="0"/>
          <w:szCs w:val="21"/>
          <w:lang w:val="en-US" w:eastAsia="zh-CN"/>
        </w:rPr>
        <w:t>,应当用无毒塑料薄膜保护。</w:t>
      </w:r>
    </w:p>
    <w:p>
      <w:pPr>
        <w:snapToGrid w:val="0"/>
        <w:outlineLvl w:val="2"/>
        <w:rPr>
          <w:rStyle w:val="17"/>
          <w:rFonts w:ascii="宋体" w:hAnsi="宋体" w:eastAsia="宋体"/>
        </w:rPr>
      </w:pPr>
      <w:r>
        <w:rPr>
          <w:rStyle w:val="17"/>
          <w:rFonts w:hint="eastAsia" w:ascii="宋体" w:hAnsi="宋体" w:eastAsia="宋体"/>
          <w:lang w:val="en-US" w:eastAsia="zh-CN"/>
        </w:rPr>
        <w:t>2.1.4</w:t>
      </w:r>
      <w:r>
        <w:rPr>
          <w:rStyle w:val="17"/>
          <w:rFonts w:ascii="宋体" w:hAnsi="宋体" w:eastAsia="宋体"/>
        </w:rPr>
        <w:t>机械振动性能</w:t>
      </w:r>
      <w:r>
        <w:rPr>
          <w:rStyle w:val="17"/>
          <w:rFonts w:hint="eastAsia" w:ascii="宋体" w:hAnsi="宋体" w:eastAsia="宋体"/>
        </w:rPr>
        <w:t>要求</w:t>
      </w:r>
    </w:p>
    <w:p>
      <w:pPr>
        <w:pStyle w:val="56"/>
        <w:ind w:firstLine="600" w:firstLineChars="250"/>
        <w:rPr>
          <w:rStyle w:val="17"/>
          <w:rFonts w:ascii="宋体" w:hAnsi="宋体" w:eastAsia="宋体"/>
        </w:rPr>
      </w:pPr>
      <w:r>
        <w:rPr>
          <w:rStyle w:val="17"/>
          <w:rFonts w:ascii="宋体" w:hAnsi="宋体" w:eastAsia="宋体"/>
        </w:rPr>
        <w:t>设备应能承受频率f为2～9Hz，振幅为0.3mm及f为9Hz～500Hz，加速度为1m/s2的振动。振动之后，设备不应发生损坏和零部件受振动脱落现象</w:t>
      </w:r>
      <w:r>
        <w:rPr>
          <w:rStyle w:val="17"/>
          <w:rFonts w:hint="eastAsia" w:ascii="宋体" w:hAnsi="宋体" w:eastAsia="宋体"/>
        </w:rPr>
        <w:t>，</w:t>
      </w:r>
      <w:r>
        <w:rPr>
          <w:rStyle w:val="17"/>
          <w:rFonts w:ascii="宋体" w:hAnsi="宋体" w:eastAsia="宋体"/>
        </w:rPr>
        <w:t>各项性能均应符合</w:t>
      </w:r>
      <w:r>
        <w:rPr>
          <w:rStyle w:val="17"/>
          <w:rFonts w:hint="eastAsia" w:ascii="宋体" w:hAnsi="宋体" w:eastAsia="宋体"/>
        </w:rPr>
        <w:t>基本性能</w:t>
      </w:r>
      <w:r>
        <w:rPr>
          <w:rStyle w:val="17"/>
          <w:rFonts w:ascii="宋体" w:hAnsi="宋体" w:eastAsia="宋体"/>
        </w:rPr>
        <w:t>的要求。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2.1.5 机械安全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探头应当做钝化处理，防止对人体造成伤害。</w:t>
      </w:r>
    </w:p>
    <w:p>
      <w:pP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2.1.6显示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触摸屏要求具有1024×768点阵，可视窗口尺寸不小于210.4mm×157.8mm。</w:t>
      </w:r>
    </w:p>
    <w:p>
      <w:pPr>
        <w:ind w:firstLine="420" w:firstLineChars="0"/>
        <w:rPr>
          <w:rFonts w:hint="default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触摸屏屏幕离主机表面距离不超过6mm。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使用时应当反映灵敏，不应出现停顿，滞后现象。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显示内容参见附录2。</w:t>
      </w:r>
    </w:p>
    <w:p>
      <w:pP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2.1.7 开关和按键</w:t>
      </w:r>
    </w:p>
    <w:p>
      <w:pPr>
        <w:ind w:firstLine="420" w:firstLineChars="0"/>
        <w:rPr>
          <w:rFonts w:hint="default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开关和按键应当灵活可靠，不应出现卡死或接触不良现象。</w:t>
      </w:r>
    </w:p>
    <w:p>
      <w:pP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</w:t>
      </w: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8</w:t>
      </w: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 xml:space="preserve"> 铭牌</w:t>
      </w: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与标识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2.1.8.1铭牌不应采用金属材料，应当具有耐高温，防紫外线功能。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2.1.8.2 标识应当包括以下内容：</w:t>
      </w:r>
    </w:p>
    <w:p>
      <w:pPr>
        <w:ind w:left="420" w:leftChars="0"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产品型号，测量范围，测量精度，供电电压，出厂日期，制造商名称。</w:t>
      </w:r>
    </w:p>
    <w:p>
      <w:pPr>
        <w:ind w:left="420" w:leftChars="0"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二维码信息结构如下：</w:t>
      </w:r>
    </w:p>
    <w:tbl>
      <w:tblPr>
        <w:tblStyle w:val="7"/>
        <w:tblW w:w="7994" w:type="dxa"/>
        <w:jc w:val="center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598"/>
        <w:gridCol w:w="1598"/>
        <w:gridCol w:w="1598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598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序号</w:t>
            </w:r>
          </w:p>
        </w:tc>
        <w:tc>
          <w:tcPr>
            <w:tcW w:w="1598" w:type="dxa"/>
          </w:tcPr>
          <w:p>
            <w:pPr>
              <w:rPr>
                <w:rFonts w:hint="default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1</w:t>
            </w:r>
          </w:p>
        </w:tc>
        <w:tc>
          <w:tcPr>
            <w:tcW w:w="1598" w:type="dxa"/>
          </w:tcPr>
          <w:p>
            <w:pPr>
              <w:rPr>
                <w:rFonts w:hint="default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2</w:t>
            </w:r>
          </w:p>
        </w:tc>
        <w:tc>
          <w:tcPr>
            <w:tcW w:w="1598" w:type="dxa"/>
          </w:tcPr>
          <w:p>
            <w:pPr>
              <w:rPr>
                <w:rFonts w:hint="default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3</w:t>
            </w:r>
          </w:p>
        </w:tc>
        <w:tc>
          <w:tcPr>
            <w:tcW w:w="1602" w:type="dxa"/>
          </w:tcPr>
          <w:p>
            <w:pPr>
              <w:rPr>
                <w:rFonts w:hint="default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598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名称</w:t>
            </w:r>
          </w:p>
        </w:tc>
        <w:tc>
          <w:tcPr>
            <w:tcW w:w="1598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产品型号</w:t>
            </w:r>
          </w:p>
        </w:tc>
        <w:tc>
          <w:tcPr>
            <w:tcW w:w="1598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制造商名称</w:t>
            </w:r>
          </w:p>
        </w:tc>
        <w:tc>
          <w:tcPr>
            <w:tcW w:w="1598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出厂日期</w:t>
            </w:r>
          </w:p>
        </w:tc>
        <w:tc>
          <w:tcPr>
            <w:tcW w:w="1602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硬件版本号</w:t>
            </w:r>
          </w:p>
        </w:tc>
      </w:tr>
    </w:tbl>
    <w:p>
      <w:r>
        <w:rPr>
          <w:rFonts w:ascii="文鼎ＰＬ简报宋" w:hAnsi="文鼎ＰＬ简报宋" w:eastAsia="文鼎ＰＬ简报宋"/>
          <w:sz w:val="24"/>
          <w:szCs w:val="24"/>
        </w:rPr>
        <w:t>2.2使用环境条件</w:t>
      </w:r>
    </w:p>
    <w:p>
      <w:pPr>
        <w:pStyle w:val="56"/>
        <w:ind w:firstLine="525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装置必须符合C1级别要求, 工作场所环境温度和湿度分级见表2-1。</w:t>
      </w:r>
    </w:p>
    <w:p>
      <w:pPr>
        <w:pStyle w:val="56"/>
        <w:jc w:val="center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表2-1 工作场所环境温度和湿度分级</w:t>
      </w:r>
    </w:p>
    <w:tbl>
      <w:tblPr>
        <w:tblStyle w:val="6"/>
        <w:tblW w:w="789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2"/>
        <w:gridCol w:w="1688"/>
        <w:gridCol w:w="2445"/>
        <w:gridCol w:w="1425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jc w:val="center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级别</w:t>
            </w:r>
          </w:p>
        </w:tc>
        <w:tc>
          <w:tcPr>
            <w:tcW w:w="41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firstLine="420"/>
              <w:jc w:val="center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环境温度</w:t>
            </w:r>
          </w:p>
        </w:tc>
        <w:tc>
          <w:tcPr>
            <w:tcW w:w="29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firstLine="420"/>
              <w:jc w:val="center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湿  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696" w:hRule="atLeast"/>
          <w:jc w:val="center"/>
        </w:trPr>
        <w:tc>
          <w:tcPr>
            <w:tcW w:w="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snapToGrid w:val="0"/>
              <w:ind w:firstLine="420"/>
              <w:jc w:val="center"/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jc w:val="left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范围℃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最大变化率℃／min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相对湿度%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最大绝对湿度g/m3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jc w:val="center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C1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jc w:val="left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－5～＋45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0.5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5～95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29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2.3电源要求</w:t>
      </w:r>
    </w:p>
    <w:p>
      <w:pPr>
        <w:pStyle w:val="56"/>
        <w:ind w:firstLine="420"/>
      </w:pPr>
      <w:r>
        <w:rPr>
          <w:rStyle w:val="17"/>
          <w:rFonts w:ascii="宋体;SimSun" w:hAnsi="宋体;SimSun" w:eastAsia="宋体;SimSun" w:cs="宋体;SimSun"/>
          <w:sz w:val="24"/>
          <w:szCs w:val="24"/>
        </w:rPr>
        <w:t>2.3.1</w:t>
      </w: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供电电源要求</w:t>
      </w:r>
    </w:p>
    <w:p>
      <w:pPr>
        <w:pStyle w:val="56"/>
        <w:numPr>
          <w:ilvl w:val="0"/>
          <w:numId w:val="0"/>
        </w:numPr>
        <w:ind w:left="420" w:firstLine="420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2.3.1.1交流电源电压标称值为单相220V；</w:t>
      </w:r>
    </w:p>
    <w:p>
      <w:pPr>
        <w:pStyle w:val="56"/>
        <w:numPr>
          <w:ilvl w:val="0"/>
          <w:numId w:val="0"/>
        </w:numPr>
        <w:ind w:left="420" w:firstLine="420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2.3.1.2交流电源标称电压容差为-20%～+20%；</w:t>
      </w:r>
    </w:p>
    <w:p>
      <w:pPr>
        <w:pStyle w:val="56"/>
        <w:numPr>
          <w:ilvl w:val="0"/>
          <w:numId w:val="0"/>
        </w:numPr>
        <w:ind w:firstLine="42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 xml:space="preserve">2.3.3 </w:t>
      </w: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主机整机功耗不大于150VA。</w:t>
      </w:r>
    </w:p>
    <w:p>
      <w:pP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</w:pPr>
      <w: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2.4</w:t>
      </w:r>
      <w:r>
        <w:rPr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通信</w:t>
      </w:r>
      <w: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接口要求</w:t>
      </w:r>
    </w:p>
    <w:p>
      <w:pPr>
        <w:pStyle w:val="56"/>
        <w:numPr>
          <w:ilvl w:val="0"/>
          <w:numId w:val="0"/>
        </w:numPr>
        <w:ind w:left="420" w:firstLine="0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2.4.1装置具有1路RS-232接口传输速率可选用1200bit/s、2400bit/s、9600bit/s等，</w:t>
      </w:r>
    </w:p>
    <w:p>
      <w:pPr>
        <w:pStyle w:val="56"/>
        <w:numPr>
          <w:ilvl w:val="0"/>
          <w:numId w:val="0"/>
        </w:numPr>
        <w:ind w:left="420" w:firstLine="0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2.4.2装置具有1路以太网接口传输速率选用10/100Mbit/s全双工等；</w:t>
      </w:r>
    </w:p>
    <w:p>
      <w:pPr>
        <w:pStyle w:val="56"/>
        <w:numPr>
          <w:ilvl w:val="0"/>
          <w:numId w:val="0"/>
        </w:numPr>
        <w:ind w:left="420" w:firstLine="0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2.4.3装置具有1路无线通讯接口，支持4G，5G，NbIot通讯方式。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2.4.4装置具有1路Usb接口，可用于文件传输，参数设置以及升级。</w:t>
      </w:r>
    </w:p>
    <w:p>
      <w:r>
        <w:rPr>
          <w:rFonts w:ascii="文鼎ＰＬ简报宋" w:hAnsi="文鼎ＰＬ简报宋" w:eastAsia="文鼎ＰＬ简报宋"/>
          <w:sz w:val="24"/>
          <w:szCs w:val="24"/>
        </w:rPr>
        <w:t>2.5功能要求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2.5.1测量功能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装置应能测量人体静脉血压。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测量范围：0-350mmHg。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测量精度：5%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测量分辨率0.3mmHg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default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测量数据可以通过曲线形式或数字形式显示出来。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2.5.2数据保存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能够将测量的数据进行保存，并通过本地或远程传输调阅出来。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2.5.3参数设置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可设置血压单位，采样频率，拟合时长参数。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可录入检测对象信息。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可录入导管编号信息。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可录入医生映像，电子签名信息。</w:t>
      </w:r>
    </w:p>
    <w:p>
      <w:pPr>
        <w:pStyle w:val="56"/>
        <w:numPr>
          <w:ilvl w:val="0"/>
          <w:numId w:val="0"/>
        </w:numP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 xml:space="preserve"> </w:t>
      </w: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ab/>
        <w:t>2.5.4数据查询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可查询检测对象信息，导管编号信息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</w:t>
      </w: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5</w:t>
      </w: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通讯功能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可通过通讯接口将测量数据进行远程传输。</w:t>
      </w:r>
    </w:p>
    <w:p>
      <w:pPr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2.6性能要求</w:t>
      </w:r>
    </w:p>
    <w:p>
      <w:pPr>
        <w:numPr>
          <w:ilvl w:val="0"/>
          <w:numId w:val="0"/>
        </w:numPr>
        <w:ind w:left="420" w:firstLine="0"/>
        <w:rPr>
          <w:rFonts w:hint="default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2.6.3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过零热胀系数</w:t>
      </w:r>
      <w:r>
        <w:rPr>
          <w:rFonts w:hint="eastAsia" w:ascii="文鼎ＰＬ简报宋" w:hAnsi="文鼎ＰＬ简报宋" w:eastAsia="文鼎ＰＬ简报宋"/>
          <w:sz w:val="24"/>
          <w:szCs w:val="24"/>
          <w:lang w:eastAsia="zh-CN"/>
        </w:rPr>
        <w:t>不大于</w:t>
      </w:r>
      <w:bookmarkStart w:id="0" w:name="_GoBack"/>
      <w:bookmarkEnd w:id="0"/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0.3mmHg/</w:t>
      </w:r>
    </w:p>
    <w:p>
      <w:pPr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2.7电气性能要求</w:t>
      </w:r>
    </w:p>
    <w:p>
      <w:pPr>
        <w:ind w:firstLine="420" w:firstLineChars="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绝缘性能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电压突降，电压中断适应能力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抗浪涌干扰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抗脉冲群干扰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抗静电干扰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3.检验方法</w:t>
      </w: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4.术语</w:t>
      </w: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5.附录</w:t>
      </w:r>
    </w:p>
    <w:p/>
    <w:p/>
    <w:p>
      <w:r>
        <w:drawing>
          <wp:inline distT="0" distB="0" distL="114300" distR="114300">
            <wp:extent cx="6009640" cy="398335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l="36353" t="17308" r="36842" b="40228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2899"/>
        </w:tabs>
        <w:jc w:val="left"/>
      </w:pPr>
      <w:r>
        <w:drawing>
          <wp:inline distT="0" distB="0" distL="114300" distR="114300">
            <wp:extent cx="5641340" cy="389572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l="64249" t="25404" r="12956" b="36975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99"/>
        </w:tabs>
        <w:jc w:val="left"/>
      </w:pPr>
    </w:p>
    <w:p>
      <w:pPr>
        <w:tabs>
          <w:tab w:val="left" w:pos="2899"/>
        </w:tabs>
        <w:jc w:val="left"/>
        <w:rPr>
          <w:lang w:val="en-US" w:eastAsia="zh-CN"/>
        </w:rPr>
      </w:pPr>
      <w:r>
        <w:rPr>
          <w:lang w:val="en-US" w:eastAsia="zh-CN"/>
        </w:rPr>
        <w:object>
          <v:shape id="_x0000_i1025" o:spt="75" type="#_x0000_t75" style="height:349.45pt;width:464.95pt;" o:ole="t" filled="f" o:preferrelative="t" stroked="f" coordsize="21600,21600">
            <v:path/>
            <v:fill on="f" focussize="0,0"/>
            <v:stroke on="f"/>
            <v:imagedata r:id="rId8" cropleft="21698f" croptop="36971f" cropright="34406f" cropbottom="14071f" o:title=""/>
            <o:lock v:ext="edit" aspectratio="f"/>
            <w10:wrap type="none"/>
            <w10:anchorlock/>
          </v:shape>
          <o:OLEObject Type="Embed" ProgID="AutoCAD.Drawing.18" ShapeID="_x0000_i1025" DrawAspect="Content" ObjectID="_1468075725" r:id="rId7">
            <o:LockedField>false</o:LockedField>
          </o:OLEObject>
        </w:objec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-F1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OpenSymbol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黑体;Sim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ＰＬ简报宋">
    <w:altName w:val="宋体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文鼎ＰＬ简报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3"/>
      <w:numFmt w:val="decimal"/>
      <w:lvlText w:val="%1.%2"/>
      <w:lvlJc w:val="left"/>
      <w:pPr>
        <w:ind w:left="405" w:hanging="405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22CB5"/>
    <w:rsid w:val="3C1E6881"/>
    <w:rsid w:val="3E457629"/>
    <w:rsid w:val="4FFF2880"/>
    <w:rsid w:val="51BB33C1"/>
    <w:rsid w:val="62872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WW8Num44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9">
    <w:name w:val="WW8Num44z1"/>
    <w:qFormat/>
    <w:uiPriority w:val="0"/>
  </w:style>
  <w:style w:type="character" w:customStyle="1" w:styleId="10">
    <w:name w:val="WW8Num44z2"/>
    <w:qFormat/>
    <w:uiPriority w:val="0"/>
  </w:style>
  <w:style w:type="character" w:customStyle="1" w:styleId="11">
    <w:name w:val="WW8Num44z3"/>
    <w:qFormat/>
    <w:uiPriority w:val="0"/>
  </w:style>
  <w:style w:type="character" w:customStyle="1" w:styleId="12">
    <w:name w:val="WW8Num44z4"/>
    <w:qFormat/>
    <w:uiPriority w:val="0"/>
  </w:style>
  <w:style w:type="character" w:customStyle="1" w:styleId="13">
    <w:name w:val="WW8Num44z5"/>
    <w:qFormat/>
    <w:uiPriority w:val="0"/>
  </w:style>
  <w:style w:type="character" w:customStyle="1" w:styleId="14">
    <w:name w:val="WW8Num44z6"/>
    <w:qFormat/>
    <w:uiPriority w:val="0"/>
  </w:style>
  <w:style w:type="character" w:customStyle="1" w:styleId="15">
    <w:name w:val="WW8Num44z7"/>
    <w:qFormat/>
    <w:uiPriority w:val="0"/>
  </w:style>
  <w:style w:type="character" w:customStyle="1" w:styleId="16">
    <w:name w:val="WW8Num44z8"/>
    <w:qFormat/>
    <w:uiPriority w:val="0"/>
  </w:style>
  <w:style w:type="character" w:customStyle="1" w:styleId="17">
    <w:name w:val="D2 Char Char"/>
    <w:link w:val="18"/>
    <w:qFormat/>
    <w:uiPriority w:val="0"/>
  </w:style>
  <w:style w:type="paragraph" w:customStyle="1" w:styleId="18">
    <w:name w:val="D2"/>
    <w:basedOn w:val="19"/>
    <w:link w:val="17"/>
    <w:uiPriority w:val="0"/>
  </w:style>
  <w:style w:type="paragraph" w:customStyle="1" w:styleId="19">
    <w:name w:val="附录二"/>
    <w:basedOn w:val="20"/>
    <w:qFormat/>
    <w:uiPriority w:val="0"/>
    <w:pPr>
      <w:spacing w:line="312" w:lineRule="exact"/>
    </w:pPr>
    <w:rPr>
      <w:rFonts w:ascii="EU-F1" w:hAnsi="Times New Roman" w:eastAsia="黑体" w:cs="Times New Roman"/>
      <w:kern w:val="21"/>
    </w:rPr>
  </w:style>
  <w:style w:type="paragraph" w:customStyle="1" w:styleId="20">
    <w:name w:val="Plain Text"/>
    <w:basedOn w:val="1"/>
    <w:uiPriority w:val="0"/>
    <w:rPr>
      <w:rFonts w:ascii="宋体" w:hAnsi="Courier New" w:cs="Courier New"/>
      <w:szCs w:val="21"/>
    </w:rPr>
  </w:style>
  <w:style w:type="character" w:customStyle="1" w:styleId="21">
    <w:name w:val="编号符号"/>
    <w:qFormat/>
    <w:uiPriority w:val="0"/>
  </w:style>
  <w:style w:type="character" w:customStyle="1" w:styleId="22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23">
    <w:name w:val="WW8Num42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24">
    <w:name w:val="WW8Num42z1"/>
    <w:qFormat/>
    <w:uiPriority w:val="0"/>
  </w:style>
  <w:style w:type="character" w:customStyle="1" w:styleId="25">
    <w:name w:val="WW8Num42z2"/>
    <w:qFormat/>
    <w:uiPriority w:val="0"/>
  </w:style>
  <w:style w:type="character" w:customStyle="1" w:styleId="26">
    <w:name w:val="WW8Num42z3"/>
    <w:qFormat/>
    <w:uiPriority w:val="0"/>
  </w:style>
  <w:style w:type="character" w:customStyle="1" w:styleId="27">
    <w:name w:val="WW8Num42z4"/>
    <w:qFormat/>
    <w:uiPriority w:val="0"/>
  </w:style>
  <w:style w:type="character" w:customStyle="1" w:styleId="28">
    <w:name w:val="WW8Num42z5"/>
    <w:qFormat/>
    <w:uiPriority w:val="0"/>
  </w:style>
  <w:style w:type="character" w:customStyle="1" w:styleId="29">
    <w:name w:val="WW8Num42z6"/>
    <w:qFormat/>
    <w:uiPriority w:val="0"/>
  </w:style>
  <w:style w:type="character" w:customStyle="1" w:styleId="30">
    <w:name w:val="WW8Num42z7"/>
    <w:qFormat/>
    <w:uiPriority w:val="0"/>
  </w:style>
  <w:style w:type="character" w:customStyle="1" w:styleId="31">
    <w:name w:val="WW8Num42z8"/>
    <w:qFormat/>
    <w:uiPriority w:val="0"/>
  </w:style>
  <w:style w:type="character" w:customStyle="1" w:styleId="32">
    <w:name w:val="WW8Num18z0"/>
    <w:qFormat/>
    <w:uiPriority w:val="0"/>
  </w:style>
  <w:style w:type="character" w:customStyle="1" w:styleId="33">
    <w:name w:val="WW8Num18z1"/>
    <w:qFormat/>
    <w:uiPriority w:val="0"/>
  </w:style>
  <w:style w:type="character" w:customStyle="1" w:styleId="34">
    <w:name w:val="WW8Num18z2"/>
    <w:qFormat/>
    <w:uiPriority w:val="0"/>
  </w:style>
  <w:style w:type="character" w:customStyle="1" w:styleId="35">
    <w:name w:val="WW8Num18z3"/>
    <w:qFormat/>
    <w:uiPriority w:val="0"/>
  </w:style>
  <w:style w:type="character" w:customStyle="1" w:styleId="36">
    <w:name w:val="WW8Num18z4"/>
    <w:qFormat/>
    <w:uiPriority w:val="0"/>
  </w:style>
  <w:style w:type="character" w:customStyle="1" w:styleId="37">
    <w:name w:val="WW8Num18z5"/>
    <w:qFormat/>
    <w:uiPriority w:val="0"/>
  </w:style>
  <w:style w:type="character" w:customStyle="1" w:styleId="38">
    <w:name w:val="WW8Num18z6"/>
    <w:qFormat/>
    <w:uiPriority w:val="0"/>
  </w:style>
  <w:style w:type="character" w:customStyle="1" w:styleId="39">
    <w:name w:val="WW8Num18z7"/>
    <w:qFormat/>
    <w:uiPriority w:val="0"/>
  </w:style>
  <w:style w:type="character" w:customStyle="1" w:styleId="40">
    <w:name w:val="WW8Num18z8"/>
    <w:qFormat/>
    <w:uiPriority w:val="0"/>
  </w:style>
  <w:style w:type="character" w:customStyle="1" w:styleId="41">
    <w:name w:val="WW8Num34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42">
    <w:name w:val="WW8Num34z1"/>
    <w:qFormat/>
    <w:uiPriority w:val="0"/>
  </w:style>
  <w:style w:type="character" w:customStyle="1" w:styleId="43">
    <w:name w:val="WW8Num34z2"/>
    <w:qFormat/>
    <w:uiPriority w:val="0"/>
  </w:style>
  <w:style w:type="character" w:customStyle="1" w:styleId="44">
    <w:name w:val="WW8Num34z3"/>
    <w:qFormat/>
    <w:uiPriority w:val="0"/>
  </w:style>
  <w:style w:type="character" w:customStyle="1" w:styleId="45">
    <w:name w:val="WW8Num34z4"/>
    <w:qFormat/>
    <w:uiPriority w:val="0"/>
  </w:style>
  <w:style w:type="character" w:customStyle="1" w:styleId="46">
    <w:name w:val="WW8Num34z5"/>
    <w:qFormat/>
    <w:uiPriority w:val="0"/>
  </w:style>
  <w:style w:type="character" w:customStyle="1" w:styleId="47">
    <w:name w:val="WW8Num34z6"/>
    <w:qFormat/>
    <w:uiPriority w:val="0"/>
  </w:style>
  <w:style w:type="character" w:customStyle="1" w:styleId="48">
    <w:name w:val="WW8Num34z7"/>
    <w:qFormat/>
    <w:uiPriority w:val="0"/>
  </w:style>
  <w:style w:type="character" w:customStyle="1" w:styleId="49">
    <w:name w:val="WW8Num34z8"/>
    <w:qFormat/>
    <w:uiPriority w:val="0"/>
  </w:style>
  <w:style w:type="character" w:customStyle="1" w:styleId="50">
    <w:name w:val="ListLabel 10"/>
    <w:qFormat/>
    <w:uiPriority w:val="0"/>
    <w:rPr>
      <w:rFonts w:ascii="宋体;SimSun" w:hAnsi="宋体;SimSun" w:eastAsia="宋体;SimSun" w:cs="宋体;SimSun"/>
    </w:rPr>
  </w:style>
  <w:style w:type="paragraph" w:customStyle="1" w:styleId="51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52">
    <w:name w:val="索引"/>
    <w:basedOn w:val="1"/>
    <w:qFormat/>
    <w:uiPriority w:val="0"/>
    <w:pPr>
      <w:suppressLineNumbers/>
    </w:pPr>
  </w:style>
  <w:style w:type="paragraph" w:customStyle="1" w:styleId="53">
    <w:name w:val="表格内文字"/>
    <w:qFormat/>
    <w:uiPriority w:val="0"/>
    <w:pPr>
      <w:widowControl/>
      <w:bidi w:val="0"/>
      <w:snapToGrid w:val="0"/>
      <w:jc w:val="center"/>
    </w:pPr>
    <w:rPr>
      <w:rFonts w:ascii="黑体;SimHei" w:hAnsi="黑体;SimHei" w:eastAsia="宋体;SimSun" w:cs="Arial"/>
      <w:bCs/>
      <w:color w:val="auto"/>
      <w:kern w:val="2"/>
      <w:sz w:val="18"/>
      <w:szCs w:val="32"/>
      <w:lang w:val="en-US" w:eastAsia="zh-CN" w:bidi="ar-SA"/>
    </w:rPr>
  </w:style>
  <w:style w:type="paragraph" w:customStyle="1" w:styleId="54">
    <w:name w:val="表格内容"/>
    <w:basedOn w:val="1"/>
    <w:qFormat/>
    <w:uiPriority w:val="0"/>
    <w:pPr>
      <w:suppressLineNumbers/>
    </w:pPr>
  </w:style>
  <w:style w:type="paragraph" w:customStyle="1" w:styleId="55">
    <w:name w:val="表格标题"/>
    <w:basedOn w:val="54"/>
    <w:qFormat/>
    <w:uiPriority w:val="0"/>
    <w:pPr>
      <w:suppressLineNumbers/>
      <w:jc w:val="center"/>
    </w:pPr>
    <w:rPr>
      <w:b/>
      <w:bCs/>
    </w:rPr>
  </w:style>
  <w:style w:type="paragraph" w:customStyle="1" w:styleId="56">
    <w:name w:val="00"/>
    <w:basedOn w:val="1"/>
    <w:qFormat/>
    <w:uiPriority w:val="0"/>
    <w:pPr>
      <w:overflowPunct w:val="0"/>
      <w:spacing w:line="312" w:lineRule="exact"/>
    </w:pPr>
  </w:style>
  <w:style w:type="paragraph" w:styleId="57">
    <w:name w:val="List Paragraph"/>
    <w:basedOn w:val="1"/>
    <w:qFormat/>
    <w:uiPriority w:val="0"/>
    <w:pPr>
      <w:ind w:firstLine="420"/>
    </w:pPr>
  </w:style>
  <w:style w:type="paragraph" w:customStyle="1" w:styleId="58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716</Words>
  <Characters>965</Characters>
  <Paragraphs>76</Paragraphs>
  <TotalTime>192</TotalTime>
  <ScaleCrop>false</ScaleCrop>
  <LinksUpToDate>false</LinksUpToDate>
  <CharactersWithSpaces>976</CharactersWithSpaces>
  <Application>WPS Office_10.1.0.7698_F1E327BC-269C-435d-A152-05C5408002CA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2019-08-10T09:55:00Z</dcterms:created>
  <dc:creator>hhj1407250686</dc:creator>
  <cp:lastModifiedBy>hanhj</cp:lastModifiedBy>
  <dcterms:modified xsi:type="dcterms:W3CDTF">2019-08-26T15:12:12Z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