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Leakage Case Studies</w:t>
      </w:r>
    </w:p>
    <w:p>
      <w:pPr>
        <w:jc w:val="center"/>
      </w:pPr>
      <w:r>
        <w:rPr>
          <w:i/>
          <w:sz w:val="21"/>
        </w:rPr>
        <w:t>Two controlled demonstrations used to test the evaluation pipeline</w:t>
      </w:r>
    </w:p>
    <w:p>
      <w:pPr>
        <w:pStyle w:val="Heading1"/>
      </w:pPr>
      <w:r>
        <w:t>Why run leakage demonstrations?</w:t>
      </w:r>
    </w:p>
    <w:p>
      <w:r>
        <w:t>Leakage can make an ordinary model look much stronger than it really is. Rather than only warning about it, the project reproduces two mistakes on purpose and measures how much the reported performance changes.</w:t>
      </w:r>
    </w:p>
    <w:p>
      <w:pPr>
        <w:pStyle w:val="Heading1"/>
      </w:pPr>
      <w:r>
        <w:t>Case 1: post-outcome feature</w:t>
      </w:r>
    </w:p>
    <w:p>
      <w:r>
        <w:t>The current sprint completion ratio is added as if it were known at sprint start. It is not. This has little effect on late-closure F1 in this dataset, but it pushes the spillover result close to perfect.</w:t>
      </w:r>
    </w:p>
    <w:p>
      <w:pPr>
        <w:pStyle w:val="Heading1"/>
      </w:pPr>
      <w:r>
        <w:t>Case 2: oversampling before the split</w:t>
      </w:r>
    </w:p>
    <w:p>
      <w:r>
        <w:t>The incorrect pipeline oversamples the full pool and only then creates train and test sets. The correct order creates the split first and applies resampling only inside the training data. The wrong order substantially inflates late-closure F1.</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AF2F8"/>
            <w:vAlign w:val="center"/>
          </w:tcPr>
          <w:p>
            <w:r>
              <w:rPr>
                <w:b/>
              </w:rPr>
              <w:t>Outcome</w:t>
            </w:r>
          </w:p>
        </w:tc>
        <w:tc>
          <w:tcPr>
            <w:tcW w:type="dxa" w:w="2520"/>
            <w:shd w:fill="EAF2F8"/>
            <w:vAlign w:val="center"/>
          </w:tcPr>
          <w:p>
            <w:r>
              <w:rPr>
                <w:b/>
              </w:rPr>
              <w:t>Mechanism</w:t>
            </w:r>
          </w:p>
        </w:tc>
        <w:tc>
          <w:tcPr>
            <w:tcW w:type="dxa" w:w="2520"/>
            <w:shd w:fill="EAF2F8"/>
            <w:vAlign w:val="center"/>
          </w:tcPr>
          <w:p>
            <w:r>
              <w:rPr>
                <w:b/>
              </w:rPr>
              <w:t>Correct F1</w:t>
            </w:r>
          </w:p>
        </w:tc>
        <w:tc>
          <w:tcPr>
            <w:tcW w:type="dxa" w:w="2520"/>
            <w:shd w:fill="EAF2F8"/>
            <w:vAlign w:val="center"/>
          </w:tcPr>
          <w:p>
            <w:r>
              <w:rPr>
                <w:b/>
              </w:rPr>
              <w:t>Leaky/incorrect F1</w:t>
            </w:r>
          </w:p>
        </w:tc>
      </w:tr>
      <w:tr>
        <w:tc>
          <w:tcPr>
            <w:tcW w:type="dxa" w:w="2520"/>
          </w:tcPr>
          <w:p>
            <w:r>
              <w:t>Late closure</w:t>
            </w:r>
          </w:p>
        </w:tc>
        <w:tc>
          <w:tcPr>
            <w:tcW w:type="dxa" w:w="2520"/>
          </w:tcPr>
          <w:p>
            <w:r>
              <w:t>Post-outcome feature</w:t>
            </w:r>
          </w:p>
        </w:tc>
        <w:tc>
          <w:tcPr>
            <w:tcW w:type="dxa" w:w="2520"/>
          </w:tcPr>
          <w:p>
            <w:r>
              <w:t>.463</w:t>
            </w:r>
          </w:p>
        </w:tc>
        <w:tc>
          <w:tcPr>
            <w:tcW w:type="dxa" w:w="2520"/>
          </w:tcPr>
          <w:p>
            <w:r>
              <w:t>.473</w:t>
            </w:r>
          </w:p>
        </w:tc>
      </w:tr>
      <w:tr>
        <w:tc>
          <w:tcPr>
            <w:tcW w:type="dxa" w:w="2520"/>
          </w:tcPr>
          <w:p>
            <w:r>
              <w:t>Late closure</w:t>
            </w:r>
          </w:p>
        </w:tc>
        <w:tc>
          <w:tcPr>
            <w:tcW w:type="dxa" w:w="2520"/>
          </w:tcPr>
          <w:p>
            <w:r>
              <w:t>Oversample before split</w:t>
            </w:r>
          </w:p>
        </w:tc>
        <w:tc>
          <w:tcPr>
            <w:tcW w:type="dxa" w:w="2520"/>
          </w:tcPr>
          <w:p>
            <w:r>
              <w:t>.457</w:t>
            </w:r>
          </w:p>
        </w:tc>
        <w:tc>
          <w:tcPr>
            <w:tcW w:type="dxa" w:w="2520"/>
          </w:tcPr>
          <w:p>
            <w:r>
              <w:t>.646</w:t>
            </w:r>
          </w:p>
        </w:tc>
      </w:tr>
      <w:tr>
        <w:tc>
          <w:tcPr>
            <w:tcW w:type="dxa" w:w="2520"/>
          </w:tcPr>
          <w:p>
            <w:r>
              <w:t>Spillover</w:t>
            </w:r>
          </w:p>
        </w:tc>
        <w:tc>
          <w:tcPr>
            <w:tcW w:type="dxa" w:w="2520"/>
          </w:tcPr>
          <w:p>
            <w:r>
              <w:t>Post-outcome feature</w:t>
            </w:r>
          </w:p>
        </w:tc>
        <w:tc>
          <w:tcPr>
            <w:tcW w:type="dxa" w:w="2520"/>
          </w:tcPr>
          <w:p>
            <w:r>
              <w:t>.756</w:t>
            </w:r>
          </w:p>
        </w:tc>
        <w:tc>
          <w:tcPr>
            <w:tcW w:type="dxa" w:w="2520"/>
          </w:tcPr>
          <w:p>
            <w:r>
              <w:t>.991</w:t>
            </w:r>
          </w:p>
        </w:tc>
      </w:tr>
      <w:tr>
        <w:tc>
          <w:tcPr>
            <w:tcW w:type="dxa" w:w="2520"/>
          </w:tcPr>
          <w:p>
            <w:r>
              <w:t>Spillover</w:t>
            </w:r>
          </w:p>
        </w:tc>
        <w:tc>
          <w:tcPr>
            <w:tcW w:type="dxa" w:w="2520"/>
          </w:tcPr>
          <w:p>
            <w:r>
              <w:t>Oversample before split</w:t>
            </w:r>
          </w:p>
        </w:tc>
        <w:tc>
          <w:tcPr>
            <w:tcW w:type="dxa" w:w="2520"/>
          </w:tcPr>
          <w:p>
            <w:r>
              <w:t>.972</w:t>
            </w:r>
          </w:p>
        </w:tc>
        <w:tc>
          <w:tcPr>
            <w:tcW w:type="dxa" w:w="2520"/>
          </w:tcPr>
          <w:p>
            <w:r>
              <w:t>.972</w:t>
            </w:r>
          </w:p>
        </w:tc>
      </w:tr>
    </w:tbl>
    <w:p>
      <w:r>
        <w:t>The effect is not constant across targets. That is the main reason the demonstrations are useful: there is no universal “leakage penalty” that can be subtracted from a published score.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