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</w:t>
      </w:r>
    </w:p>
    <w:p>
      <w:pPr>
        <w:jc w:val="center"/>
      </w:pPr>
      <w:r>
        <w:rPr>
          <w:i/>
          <w:sz w:val="21"/>
        </w:rPr>
        <w:t>Checks that protect the reconstruction and evaluation logic</w:t>
      </w:r>
    </w:p>
    <w:p>
      <w:pPr>
        <w:pStyle w:val="Heading1"/>
      </w:pPr>
      <w:r>
        <w:t>Label tests</w:t>
      </w:r>
    </w:p>
    <w:p>
      <w:pPr>
        <w:pStyle w:val="ListBullet"/>
      </w:pPr>
      <w:r>
        <w:t>Late closure uses a strict greater-than-one-day rule.</w:t>
      </w:r>
    </w:p>
    <w:p>
      <w:pPr>
        <w:pStyle w:val="ListBullet"/>
      </w:pPr>
      <w:r>
        <w:t>Nonclosed sprints do not receive an on-time label.</w:t>
      </w:r>
    </w:p>
    <w:p>
      <w:pPr>
        <w:pStyle w:val="ListBullet"/>
      </w:pPr>
      <w:r>
        <w:t>Spillover is based on unresolved sprint-start commitments.</w:t>
      </w:r>
    </w:p>
    <w:p>
      <w:pPr>
        <w:pStyle w:val="Heading1"/>
      </w:pPr>
      <w:r>
        <w:t>Reconstruction tests</w:t>
      </w:r>
    </w:p>
    <w:p>
      <w:pPr>
        <w:pStyle w:val="ListBullet"/>
      </w:pPr>
      <w:r>
        <w:t>Database Sprint.ID and Jira Sprint.JiraID are kept in separate identifier maps.</w:t>
      </w:r>
    </w:p>
    <w:p>
      <w:pPr>
        <w:pStyle w:val="ListBullet"/>
      </w:pPr>
      <w:r>
        <w:t>Changes after sprint start are rolled back; changes at the exact start timestamp are treated as available.</w:t>
      </w:r>
    </w:p>
    <w:p>
      <w:pPr>
        <w:pStyle w:val="ListBullet"/>
      </w:pPr>
      <w:r>
        <w:t>Issues created after sprint start are excluded.</w:t>
      </w:r>
    </w:p>
    <w:p>
      <w:pPr>
        <w:pStyle w:val="ListBullet"/>
      </w:pPr>
      <w:r>
        <w:t>Issues resolved before sprint start are excluded.</w:t>
      </w:r>
    </w:p>
    <w:p>
      <w:pPr>
        <w:pStyle w:val="ListBullet"/>
      </w:pPr>
      <w:r>
        <w:t>Static fallback is used only when relevant history is absent.</w:t>
      </w:r>
    </w:p>
    <w:p>
      <w:pPr>
        <w:pStyle w:val="Heading1"/>
      </w:pPr>
      <w:r>
        <w:t>Feature and leakage tests</w:t>
      </w:r>
    </w:p>
    <w:p>
      <w:pPr>
        <w:pStyle w:val="ListBullet"/>
      </w:pPr>
      <w:r>
        <w:t>Historical features use previous sprints only.</w:t>
      </w:r>
    </w:p>
    <w:p>
      <w:pPr>
        <w:pStyle w:val="ListBullet"/>
      </w:pPr>
      <w:r>
        <w:t>Outcome columns do not appear in the normal feature set.</w:t>
      </w:r>
    </w:p>
    <w:p>
      <w:pPr>
        <w:pStyle w:val="ListBullet"/>
      </w:pPr>
      <w:r>
        <w:t>Scope decomposition separates zero-scope and nonempty cohorts correctly.</w:t>
      </w:r>
    </w:p>
    <w:p>
      <w:pPr>
        <w:pStyle w:val="Heading1"/>
      </w:pPr>
      <w:r>
        <w:t>Experiment checks</w:t>
      </w:r>
    </w:p>
    <w:p>
      <w:r>
        <w:t>Saved result files record denominators, positive counts, metrics, validation scheme, and the software environment. The manuscript-number crosswalk links headline claims back to those files.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