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Week 16 - Article and Presentation</w:t>
      </w:r>
    </w:p>
    <w:p>
      <w:pPr>
        <w:jc w:val="center"/>
      </w:pPr>
      <w:r>
        <w:rPr>
          <w:i/>
          <w:sz w:val="21"/>
        </w:rPr>
        <w:t>Files prepared from the same final analysis outputs</w:t>
      </w:r>
    </w:p>
    <w:p>
      <w:pPr>
        <w:pStyle w:val="Heading1"/>
      </w:pPr>
      <w:r>
        <w:t>Conference paper</w:t>
      </w:r>
    </w:p>
    <w:p>
      <w:r>
        <w:t>`sprint_risk_paper.pdf` is the 6-page conference version. It focuses on the two actual outcomes, makes the scope-only comparison central, and reports the provenance sensitivity in the main results.</w:t>
      </w:r>
    </w:p>
    <w:p>
      <w:pPr>
        <w:pStyle w:val="Heading1"/>
      </w:pPr>
      <w:r>
        <w:t>Presentation</w:t>
      </w:r>
    </w:p>
    <w:p>
      <w:r>
        <w:t>`sprint_risk_presentation.pptx` summarizes the same numbers in a shorter format. It is intended for an academic audience and avoids deployment claims that the retrospective study cannot support.</w:t>
      </w:r>
    </w:p>
    <w:p>
      <w:pPr>
        <w:pStyle w:val="Heading1"/>
      </w:pPr>
      <w:r>
        <w:t>Figures</w:t>
      </w:r>
    </w:p>
    <w:p>
      <w:pPr>
        <w:pStyle w:val="ListBullet"/>
      </w:pPr>
      <w:r>
        <w:t>`dataflow_timing.pdf` - timing and reconstruction flow.</w:t>
      </w:r>
    </w:p>
    <w:p>
      <w:pPr>
        <w:pStyle w:val="ListBullet"/>
      </w:pPr>
      <w:r>
        <w:t>`lopo_auc_by_project.pdf` - project-to-project transfer.</w:t>
      </w:r>
    </w:p>
    <w:p>
      <w:pPr>
        <w:pStyle w:val="ListBullet"/>
      </w:pPr>
      <w:r>
        <w:t>`calibration_reliability.pdf` - reliability summaries.</w:t>
      </w:r>
    </w:p>
    <w:p>
      <w:pPr>
        <w:pStyle w:val="Heading1"/>
      </w:pPr>
      <w:r>
        <w:t>Consistency rule</w:t>
      </w:r>
    </w:p>
    <w:p>
      <w:r>
        <w:t>The long manuscript is the detailed master narrative, but both manuscripts use the same result files. If a number changes, update the machine-readable output and the manuscript-number crosswalk before editing either paper.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