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10 Checkpoint</w:t>
      </w:r>
    </w:p>
    <w:p>
      <w:pPr>
        <w:jc w:val="center"/>
      </w:pPr>
      <w:r>
        <w:rPr>
          <w:i/>
          <w:sz w:val="21"/>
        </w:rPr>
        <w:t>Baseline pipeline, artifact plan, and lessons before the full TAWOS reconstruction</w:t>
      </w:r>
    </w:p>
    <w:p>
      <w:pPr>
        <w:pStyle w:val="Heading1"/>
      </w:pPr>
      <w:r>
        <w:t>Status at this checkpoint</w:t>
      </w:r>
    </w:p>
    <w:p>
      <w:r>
        <w:t>The Week 10 work established the project structure, basic labels, model interfaces, evaluation metrics, and an initial end-to-end run on a smaller Agile dataset. Its main value was to expose the assumptions that needed stronger data before final analysis.</w:t>
      </w:r>
    </w:p>
    <w:p>
      <w:pPr>
        <w:pStyle w:val="Heading1"/>
      </w:pPr>
      <w:r>
        <w:t>What was implemented</w:t>
      </w:r>
    </w:p>
    <w:p>
      <w:pPr>
        <w:pStyle w:val="ListBullet"/>
      </w:pPr>
      <w:r>
        <w:t>A common sprint-level data frame and feature interface.</w:t>
      </w:r>
    </w:p>
    <w:p>
      <w:pPr>
        <w:pStyle w:val="ListBullet"/>
      </w:pPr>
      <w:r>
        <w:t>Binary labels for late closure and spillover.</w:t>
      </w:r>
    </w:p>
    <w:p>
      <w:pPr>
        <w:pStyle w:val="ListBullet"/>
      </w:pPr>
      <w:r>
        <w:t>Logistic regression and random-forest baselines.</w:t>
      </w:r>
    </w:p>
    <w:p>
      <w:pPr>
        <w:pStyle w:val="ListBullet"/>
      </w:pPr>
      <w:r>
        <w:t>Time-aware train/test logic and standard classification metrics.</w:t>
      </w:r>
    </w:p>
    <w:p>
      <w:pPr>
        <w:pStyle w:val="ListBullet"/>
      </w:pPr>
      <w:r>
        <w:t>Experiment logging, tests, and a reproducible folder structure.</w:t>
      </w:r>
    </w:p>
    <w:p>
      <w:pPr>
        <w:pStyle w:val="Heading1"/>
      </w:pPr>
      <w:r>
        <w:t>What the checkpoint could not establish</w:t>
      </w:r>
    </w:p>
    <w:p>
      <w:r>
        <w:t>The smaller dataset did not provide enough temporal history to verify sprint-start scope. It was therefore useful for software validation, not for the final research claim. The later TAWOS phase replaces the static assumptions with change-history reconstruction and adds stronger validation.</w:t>
      </w:r>
    </w:p>
    <w:p>
      <w:pPr>
        <w:pStyle w:val="Heading1"/>
      </w:pPr>
      <w:r>
        <w:t>Artifact plan</w:t>
      </w:r>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rPr>
                <w:b/>
              </w:rPr>
              <w:t>Area</w:t>
            </w:r>
          </w:p>
        </w:tc>
        <w:tc>
          <w:tcPr>
            <w:tcW w:type="dxa" w:w="5040"/>
            <w:shd w:fill="EAF2F8"/>
            <w:vAlign w:val="center"/>
          </w:tcPr>
          <w:p>
            <w:r>
              <w:rPr>
                <w:b/>
              </w:rPr>
              <w:t>Planned evidence</w:t>
            </w:r>
          </w:p>
        </w:tc>
      </w:tr>
      <w:tr>
        <w:tc>
          <w:tcPr>
            <w:tcW w:type="dxa" w:w="5040"/>
          </w:tcPr>
          <w:p>
            <w:r>
              <w:t>Data</w:t>
            </w:r>
          </w:p>
        </w:tc>
        <w:tc>
          <w:tcPr>
            <w:tcW w:type="dxa" w:w="5040"/>
          </w:tcPr>
          <w:p>
            <w:r>
              <w:t>Raw source files and export scripts</w:t>
            </w:r>
          </w:p>
        </w:tc>
      </w:tr>
      <w:tr>
        <w:tc>
          <w:tcPr>
            <w:tcW w:type="dxa" w:w="5040"/>
          </w:tcPr>
          <w:p>
            <w:r>
              <w:t>Code</w:t>
            </w:r>
          </w:p>
        </w:tc>
        <w:tc>
          <w:tcPr>
            <w:tcW w:type="dxa" w:w="5040"/>
          </w:tcPr>
          <w:p>
            <w:r>
              <w:t>Loaders, labels, features, models, evaluation</w:t>
            </w:r>
          </w:p>
        </w:tc>
      </w:tr>
      <w:tr>
        <w:tc>
          <w:tcPr>
            <w:tcW w:type="dxa" w:w="5040"/>
          </w:tcPr>
          <w:p>
            <w:r>
              <w:t>Validation</w:t>
            </w:r>
          </w:p>
        </w:tc>
        <w:tc>
          <w:tcPr>
            <w:tcW w:type="dxa" w:w="5040"/>
          </w:tcPr>
          <w:p>
            <w:r>
              <w:t>Temporal split, project holdout, sensitivity checks</w:t>
            </w:r>
          </w:p>
        </w:tc>
      </w:tr>
      <w:tr>
        <w:tc>
          <w:tcPr>
            <w:tcW w:type="dxa" w:w="5040"/>
          </w:tcPr>
          <w:p>
            <w:r>
              <w:t>Quality</w:t>
            </w:r>
          </w:p>
        </w:tc>
        <w:tc>
          <w:tcPr>
            <w:tcW w:type="dxa" w:w="5040"/>
          </w:tcPr>
          <w:p>
            <w:r>
              <w:t>Unit tests and leakage checks</w:t>
            </w:r>
          </w:p>
        </w:tc>
      </w:tr>
      <w:tr>
        <w:tc>
          <w:tcPr>
            <w:tcW w:type="dxa" w:w="5040"/>
          </w:tcPr>
          <w:p>
            <w:r>
              <w:t>Outputs</w:t>
            </w:r>
          </w:p>
        </w:tc>
        <w:tc>
          <w:tcPr>
            <w:tcW w:type="dxa" w:w="5040"/>
          </w:tcPr>
          <w:p>
            <w:r>
              <w:t>Machine-readable metrics plus paper tables and figures</w:t>
            </w:r>
          </w:p>
        </w:tc>
      </w:tr>
    </w:tbl>
    <w:p>
      <w:pPr>
        <w:pStyle w:val="Heading1"/>
      </w:pPr>
      <w:r>
        <w:t>Takeaway</w:t>
      </w:r>
    </w:p>
    <w:p>
      <w:r>
        <w:t>The checkpoint confirmed that the code path worked, but it also showed that dataset timing matters more than adding another classifier. The final work therefore shifted its emphasis toward provenance and evaluation design.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