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Analysis Repository</w:t>
      </w:r>
    </w:p>
    <w:p>
      <w:pPr>
        <w:jc w:val="center"/>
      </w:pPr>
      <w:r>
        <w:rPr>
          <w:i/>
          <w:sz w:val="21"/>
        </w:rPr>
        <w:t>Code and data map</w:t>
      </w:r>
    </w:p>
    <w:p>
      <w:pPr>
        <w:pStyle w:val="Heading1"/>
      </w:pPr>
      <w:r>
        <w:t>Purpose</w:t>
      </w:r>
    </w:p>
    <w:p>
      <w:r>
        <w:t>This repository contains the code and data used for the sprint analysis. The executable final workflow is the same in the Week 12 copy; this Week 10 copy is retained so the original course structure remains intact.</w:t>
      </w:r>
    </w:p>
    <w:p>
      <w:pPr>
        <w:pStyle w:val="Heading1"/>
      </w:pPr>
      <w:r>
        <w:t>Key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5040"/>
          </w:tcPr>
          <w:p>
            <w:r>
              <w:t>data/raw/tawos</w:t>
            </w:r>
          </w:p>
        </w:tc>
        <w:tc>
          <w:tcPr>
            <w:tcW w:type="dxa" w:w="5040"/>
          </w:tcPr>
          <w:p>
            <w:r>
              <w:t>Sprint, Issue, and Change_Log CSV exports</w:t>
            </w:r>
          </w:p>
        </w:tc>
      </w:tr>
      <w:tr>
        <w:tc>
          <w:tcPr>
            <w:tcW w:type="dxa" w:w="5040"/>
          </w:tcPr>
          <w:p>
            <w:r>
              <w:t>src</w:t>
            </w:r>
          </w:p>
        </w:tc>
        <w:tc>
          <w:tcPr>
            <w:tcW w:type="dxa" w:w="5040"/>
          </w:tcPr>
          <w:p>
            <w:r>
              <w:t>Reusable loading, reconstruction, features, labels, baselines, and evaluation code</w:t>
            </w:r>
          </w:p>
        </w:tc>
      </w:tr>
      <w:tr>
        <w:tc>
          <w:tcPr>
            <w:tcW w:type="dxa" w:w="5040"/>
          </w:tcPr>
          <w:p>
            <w:r>
              <w:t>scripts</w:t>
            </w:r>
          </w:p>
        </w:tc>
        <w:tc>
          <w:tcPr>
            <w:tcW w:type="dxa" w:w="5040"/>
          </w:tcPr>
          <w:p>
            <w:r>
              <w:t>Experiment entry points and figure generation</w:t>
            </w:r>
          </w:p>
        </w:tc>
      </w:tr>
      <w:tr>
        <w:tc>
          <w:tcPr>
            <w:tcW w:type="dxa" w:w="5040"/>
          </w:tcPr>
          <w:p>
            <w:r>
              <w:t>tests</w:t>
            </w:r>
          </w:p>
        </w:tc>
        <w:tc>
          <w:tcPr>
            <w:tcW w:type="dxa" w:w="5040"/>
          </w:tcPr>
          <w:p>
            <w:r>
              <w:t>Automated checks for labels, features, reconstruction, and leakage</w:t>
            </w:r>
          </w:p>
        </w:tc>
      </w:tr>
      <w:tr>
        <w:tc>
          <w:tcPr>
            <w:tcW w:type="dxa" w:w="5040"/>
          </w:tcPr>
          <w:p>
            <w:r>
              <w:t>results</w:t>
            </w:r>
          </w:p>
        </w:tc>
        <w:tc>
          <w:tcPr>
            <w:tcW w:type="dxa" w:w="5040"/>
          </w:tcPr>
          <w:p>
            <w:r>
              <w:t>Saved CSV, JSON, and PDF outputs</w:t>
            </w:r>
          </w:p>
        </w:tc>
      </w:tr>
    </w:tbl>
    <w:p>
      <w:pPr>
        <w:pStyle w:val="Heading1"/>
      </w:pPr>
      <w:r>
        <w:t>Start here</w:t>
      </w:r>
    </w:p>
    <w:p>
      <w:pPr>
        <w:pStyle w:val="Code"/>
      </w:pPr>
      <w:r>
        <w:t>python -m scripts.run_baseline</w:t>
      </w:r>
    </w:p>
    <w:p>
      <w:pPr>
        <w:pStyle w:val="Code"/>
      </w:pPr>
      <w:r>
        <w:t>python -m scripts.audit_commitment_provenance</w:t>
      </w:r>
    </w:p>
    <w:p>
      <w:pPr>
        <w:pStyle w:val="Code"/>
      </w:pPr>
      <w:r>
        <w:t>python -m scripts.run_validation_sensitivity_analyses</w:t>
      </w:r>
    </w:p>
    <w:p>
      <w:pPr>
        <w:pStyle w:val="Code"/>
      </w:pPr>
      <w:r>
        <w:t>python -m scripts.run_tests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