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12 - Method and Preliminary Results</w:t>
      </w:r>
    </w:p>
    <w:p>
      <w:pPr>
        <w:jc w:val="center"/>
      </w:pPr>
      <w:r>
        <w:rPr>
          <w:i/>
          <w:sz w:val="21"/>
        </w:rPr>
        <w:t>Transition from a baseline pipeline to the full TAWOS analysis</w:t>
      </w:r>
    </w:p>
    <w:p>
      <w:r>
        <w:t>By Week 12 the project had moved to the eight-project TAWOS subset and could test the core methodological question: what did the repository actually contain at sprint start?</w:t>
      </w:r>
    </w:p>
    <w:p>
      <w:pPr>
        <w:pStyle w:val="Heading1"/>
      </w:pPr>
      <w:r>
        <w:t>Method established</w:t>
      </w:r>
    </w:p>
    <w:p>
      <w:pPr>
        <w:pStyle w:val="ListBullet"/>
      </w:pPr>
      <w:r>
        <w:t>Sprint and Story Points reconstructed from Change_Log.</w:t>
      </w:r>
    </w:p>
    <w:p>
      <w:pPr>
        <w:pStyle w:val="ListBullet"/>
      </w:pPr>
      <w:r>
        <w:t>Nonclosed and invalid sprint rows removed before labeling.</w:t>
      </w:r>
    </w:p>
    <w:p>
      <w:pPr>
        <w:pStyle w:val="ListBullet"/>
      </w:pPr>
      <w:r>
        <w:t>Only one true cold start per project removed.</w:t>
      </w:r>
    </w:p>
    <w:p>
      <w:pPr>
        <w:pStyle w:val="ListBullet"/>
      </w:pPr>
      <w:r>
        <w:t>Assignee/developer count dropped because its sprint-start history was not reliable.</w:t>
      </w:r>
    </w:p>
    <w:p>
      <w:pPr>
        <w:pStyle w:val="ListBullet"/>
      </w:pPr>
      <w:r>
        <w:t>Forward temporal and held-out-project evaluation added.</w:t>
      </w:r>
    </w:p>
    <w:p>
      <w:pPr>
        <w:pStyle w:val="Heading1"/>
      </w:pPr>
      <w:r>
        <w:t>Preliminary lesson</w:t>
      </w:r>
    </w:p>
    <w:p>
      <w:r>
        <w:t>The first important result was not a winning classifier. It was the difference between full-population spillover and spillover among sprints that actually had reconstructed scope. That distinction became central to the Week 14 and Week 16 analyses.</w:t>
      </w:r>
    </w:p>
    <w:p>
      <w:pPr>
        <w:pStyle w:val="Heading1"/>
      </w:pPr>
      <w:r>
        <w:t>Where the final analysis lives</w:t>
      </w:r>
    </w:p>
    <w:p>
      <w:r>
        <w:t>The `sprint-risk-prediction` folder in this Week 12 section is the reproducible project used for the current papers and Week 14 analysis.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