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CONFIDENTIAL</w:t>
      </w:r>
    </w:p>
    <w:p>
      <w:r>
        <w:br/>
        <w:br/>
      </w:r>
    </w:p>
    <w:p>
      <w:pPr>
        <w:jc w:val="center"/>
      </w:pPr>
      <w:r>
        <w:rPr>
          <w:b/>
          <w:color w:val="2F75B5"/>
          <w:sz w:val="26"/>
        </w:rPr>
        <w:t>RESPONSE PROPOSAL</w:t>
      </w:r>
    </w:p>
    <w:p>
      <w:pPr>
        <w:pStyle w:val="Title"/>
        <w:jc w:val="center"/>
      </w:pPr>
      <w:r>
        <w:t>Wareed Sovereign Agentic AI Operations Center</w:t>
      </w:r>
    </w:p>
    <w:p>
      <w:pPr>
        <w:jc w:val="center"/>
      </w:pPr>
      <w:r>
        <w:rPr>
          <w:sz w:val="28"/>
        </w:rPr>
        <w:t>Sovereign AI operating model for measurable healthcare operations</w:t>
      </w:r>
    </w:p>
    <w:p>
      <w:r>
        <w:br/>
      </w:r>
    </w:p>
    <w:p>
      <w:pPr>
        <w:jc w:val="center"/>
      </w:pPr>
      <w:r>
        <w:rPr>
          <w:b/>
        </w:rPr>
        <w:t>Submitted to</w:t>
        <w:br/>
      </w:r>
      <w:r>
        <w:t>Wareed Medical Laboratories</w:t>
        <w:br/>
        <w:t>Kingdom of Saudi Arabia</w:t>
        <w:br/>
        <w:br/>
      </w:r>
      <w:r>
        <w:rPr>
          <w:b/>
        </w:rPr>
        <w:t>Submitted by</w:t>
        <w:br/>
      </w:r>
      <w:r>
        <w:t>NeoLimits</w:t>
        <w:br/>
        <w:t>Draft for completion and approval</w:t>
      </w:r>
    </w:p>
    <w:p>
      <w:r>
        <w:br/>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3168"/>
            <w:shd w:fill="17365D"/>
            <w:vAlign w:val="center"/>
          </w:tcPr>
          <w:p>
            <w:r>
              <w:rPr>
                <w:b/>
                <w:color w:val="FFFFFF"/>
                <w:sz w:val="17"/>
              </w:rPr>
              <w:t>Status</w:t>
            </w:r>
          </w:p>
        </w:tc>
        <w:tc>
          <w:tcPr>
            <w:tcW w:type="dxa" w:w="3168"/>
            <w:shd w:fill="17365D"/>
            <w:vAlign w:val="center"/>
          </w:tcPr>
          <w:p>
            <w:r>
              <w:rPr>
                <w:b/>
                <w:color w:val="FFFFFF"/>
                <w:sz w:val="17"/>
              </w:rPr>
              <w:t>Date</w:t>
            </w:r>
          </w:p>
        </w:tc>
        <w:tc>
          <w:tcPr>
            <w:tcW w:type="dxa" w:w="3168"/>
            <w:shd w:fill="17365D"/>
            <w:vAlign w:val="center"/>
          </w:tcPr>
          <w:p>
            <w:r>
              <w:rPr>
                <w:b/>
                <w:color w:val="FFFFFF"/>
                <w:sz w:val="17"/>
              </w:rPr>
              <w:t>Validity</w:t>
            </w:r>
          </w:p>
        </w:tc>
      </w:tr>
      <w:tr>
        <w:tc>
          <w:tcPr>
            <w:tcW w:type="dxa" w:w="3168"/>
            <w:vAlign w:val="center"/>
          </w:tcPr>
          <w:p>
            <w:pPr>
              <w:spacing w:after="0"/>
            </w:pPr>
            <w:r>
              <w:rPr>
                <w:sz w:val="16"/>
              </w:rPr>
              <w:t>Draft response</w:t>
            </w:r>
          </w:p>
        </w:tc>
        <w:tc>
          <w:tcPr>
            <w:tcW w:type="dxa" w:w="3168"/>
            <w:vAlign w:val="center"/>
          </w:tcPr>
          <w:p>
            <w:pPr>
              <w:spacing w:after="0"/>
            </w:pPr>
            <w:r>
              <w:rPr>
                <w:sz w:val="16"/>
              </w:rPr>
              <w:t>September 2026</w:t>
            </w:r>
          </w:p>
        </w:tc>
        <w:tc>
          <w:tcPr>
            <w:tcW w:type="dxa" w:w="3168"/>
            <w:vAlign w:val="center"/>
          </w:tcPr>
          <w:p>
            <w:pPr>
              <w:spacing w:after="0"/>
            </w:pPr>
            <w:r>
              <w:rPr>
                <w:sz w:val="16"/>
              </w:rPr>
              <w:t>90 days [TO BE CONFIRMED]</w:t>
            </w:r>
          </w:p>
        </w:tc>
      </w:tr>
    </w:tbl>
    <w:p/>
    <w:p>
      <w:r>
        <w:t>This confidential draft is technically structured against all twenty RFP response requirements. Corporate credentials, named personnel, final technology selections, binding service levels and prices marked for confirmation must be completed before submission.</w:t>
      </w:r>
    </w:p>
    <w:p>
      <w:r>
        <w:br w:type="page"/>
      </w:r>
    </w:p>
    <w:p>
      <w:pPr>
        <w:pStyle w:val="Heading1"/>
      </w:pPr>
      <w:r>
        <w:t>Letter of Submission</w:t>
      </w:r>
    </w:p>
    <w:p>
      <w:r>
        <w:t>NeoLimits is pleased to respond to Wareed Medical Laboratories. We understand that Wareed is seeking a governed digital operating model, not a conventional command room or dashboard collection. Our response establishes a Saudi-hosted sovereign foundation, proves value through an eight-week proof of concept, and scales through controlled releases. Human authority remains intact for clinical, commercial, customer, workforce and privileged technology decisions.</w:t>
      </w:r>
    </w:p>
    <w:p>
      <w:pPr>
        <w:pStyle w:val="ListBullet"/>
      </w:pPr>
      <w:r>
        <w:t>A 48-week path from discovery through extended-agent release, followed by continuous improvement.</w:t>
      </w:r>
    </w:p>
    <w:p>
      <w:pPr>
        <w:pStyle w:val="ListBullet"/>
      </w:pPr>
      <w:r>
        <w:t>Every material recommendation and action carries evidence, policy context, identity and audit history.</w:t>
      </w:r>
    </w:p>
    <w:p>
      <w:pPr>
        <w:pStyle w:val="ListBullet"/>
      </w:pPr>
      <w:r>
        <w:t>Physical room, video wall, AV and furniture remain optional and commercially separate.</w:t>
      </w:r>
    </w:p>
    <w:p>
      <w:pPr>
        <w:pStyle w:val="ListBullet"/>
      </w:pPr>
      <w:r>
        <w:t>Final submission requires NeoLimits legal entity details, references, team biographies, certifications, commercials and signature.</w:t>
      </w:r>
    </w:p>
    <w:p>
      <w:pPr>
        <w:pStyle w:val="Heading2"/>
      </w:pPr>
      <w:r>
        <w:t>Document Control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c>
          <w:tcPr>
            <w:tcW w:type="dxa" w:w="2880"/>
            <w:shd w:fill="17365D"/>
            <w:vAlign w:val="center"/>
          </w:tcPr>
          <w:p>
            <w:r>
              <w:rPr>
                <w:b/>
                <w:color w:val="FFFFFF"/>
                <w:sz w:val="17"/>
              </w:rPr>
              <w:t>Field</w:t>
            </w:r>
          </w:p>
        </w:tc>
        <w:tc>
          <w:tcPr>
            <w:tcW w:type="dxa" w:w="6768"/>
            <w:shd w:fill="17365D"/>
            <w:vAlign w:val="center"/>
          </w:tcPr>
          <w:p>
            <w:r>
              <w:rPr>
                <w:b/>
                <w:color w:val="FFFFFF"/>
                <w:sz w:val="17"/>
              </w:rPr>
              <w:t>Response</w:t>
            </w:r>
          </w:p>
        </w:tc>
      </w:tr>
      <w:tr>
        <w:tc>
          <w:tcPr>
            <w:tcW w:type="dxa" w:w="2880"/>
            <w:vAlign w:val="center"/>
          </w:tcPr>
          <w:p>
            <w:pPr>
              <w:spacing w:after="0"/>
            </w:pPr>
            <w:r>
              <w:rPr>
                <w:sz w:val="16"/>
              </w:rPr>
              <w:t>Version</w:t>
            </w:r>
          </w:p>
        </w:tc>
        <w:tc>
          <w:tcPr>
            <w:tcW w:type="dxa" w:w="6768"/>
            <w:vAlign w:val="center"/>
          </w:tcPr>
          <w:p>
            <w:pPr>
              <w:spacing w:after="0"/>
            </w:pPr>
            <w:r>
              <w:rPr>
                <w:sz w:val="16"/>
              </w:rPr>
              <w:t>Draft 1.0</w:t>
            </w:r>
          </w:p>
        </w:tc>
      </w:tr>
      <w:tr>
        <w:tc>
          <w:tcPr>
            <w:tcW w:type="dxa" w:w="2880"/>
            <w:shd w:fill="EAF2F8"/>
            <w:vAlign w:val="center"/>
          </w:tcPr>
          <w:p>
            <w:pPr>
              <w:spacing w:after="0"/>
            </w:pPr>
            <w:r>
              <w:rPr>
                <w:sz w:val="16"/>
              </w:rPr>
              <w:t>Classification</w:t>
            </w:r>
          </w:p>
        </w:tc>
        <w:tc>
          <w:tcPr>
            <w:tcW w:type="dxa" w:w="6768"/>
            <w:shd w:fill="EAF2F8"/>
            <w:vAlign w:val="center"/>
          </w:tcPr>
          <w:p>
            <w:pPr>
              <w:spacing w:after="0"/>
            </w:pPr>
            <w:r>
              <w:rPr>
                <w:sz w:val="16"/>
              </w:rPr>
              <w:t>Confidential</w:t>
            </w:r>
          </w:p>
        </w:tc>
      </w:tr>
      <w:tr>
        <w:tc>
          <w:tcPr>
            <w:tcW w:type="dxa" w:w="2880"/>
            <w:vAlign w:val="center"/>
          </w:tcPr>
          <w:p>
            <w:pPr>
              <w:spacing w:after="0"/>
            </w:pPr>
            <w:r>
              <w:rPr>
                <w:sz w:val="16"/>
              </w:rPr>
              <w:t>Bidder</w:t>
            </w:r>
          </w:p>
        </w:tc>
        <w:tc>
          <w:tcPr>
            <w:tcW w:type="dxa" w:w="6768"/>
            <w:vAlign w:val="center"/>
          </w:tcPr>
          <w:p>
            <w:pPr>
              <w:spacing w:after="0"/>
            </w:pPr>
            <w:r>
              <w:rPr>
                <w:sz w:val="16"/>
              </w:rPr>
              <w:t>NeoLimits [legal entity to confirm]</w:t>
            </w:r>
          </w:p>
        </w:tc>
      </w:tr>
      <w:tr>
        <w:tc>
          <w:tcPr>
            <w:tcW w:type="dxa" w:w="2880"/>
            <w:shd w:fill="EAF2F8"/>
            <w:vAlign w:val="center"/>
          </w:tcPr>
          <w:p>
            <w:pPr>
              <w:spacing w:after="0"/>
            </w:pPr>
            <w:r>
              <w:rPr>
                <w:sz w:val="16"/>
              </w:rPr>
              <w:t>Contact</w:t>
            </w:r>
          </w:p>
        </w:tc>
        <w:tc>
          <w:tcPr>
            <w:tcW w:type="dxa" w:w="6768"/>
            <w:shd w:fill="EAF2F8"/>
            <w:vAlign w:val="center"/>
          </w:tcPr>
          <w:p>
            <w:pPr>
              <w:spacing w:after="0"/>
            </w:pPr>
            <w:r>
              <w:rPr>
                <w:sz w:val="16"/>
              </w:rPr>
              <w:t>[TO BE CONFIRMED]</w:t>
            </w:r>
          </w:p>
        </w:tc>
      </w:tr>
      <w:tr>
        <w:tc>
          <w:tcPr>
            <w:tcW w:type="dxa" w:w="2880"/>
            <w:vAlign w:val="center"/>
          </w:tcPr>
          <w:p>
            <w:pPr>
              <w:spacing w:after="0"/>
            </w:pPr>
            <w:r>
              <w:rPr>
                <w:sz w:val="16"/>
              </w:rPr>
              <w:t>Currency</w:t>
            </w:r>
          </w:p>
        </w:tc>
        <w:tc>
          <w:tcPr>
            <w:tcW w:type="dxa" w:w="6768"/>
            <w:vAlign w:val="center"/>
          </w:tcPr>
          <w:p>
            <w:pPr>
              <w:spacing w:after="0"/>
            </w:pPr>
            <w:r>
              <w:rPr>
                <w:sz w:val="16"/>
              </w:rPr>
              <w:t>SAR excluding VAT [TO BE CONFIRMED]</w:t>
            </w:r>
          </w:p>
        </w:tc>
      </w:tr>
    </w:tbl>
    <w:p/>
    <w:p>
      <w:r>
        <w:br w:type="page"/>
      </w:r>
    </w:p>
    <w:p>
      <w:pPr>
        <w:pStyle w:val="Heading1"/>
      </w:pPr>
      <w:r>
        <w:t>Contents</w:t>
      </w:r>
    </w:p>
    <w:p>
      <w:r>
        <w:t>The sequence maps directly to the RFP vendor response requirements.</w:t>
      </w:r>
    </w:p>
    <w:p>
      <w:r>
        <w:t>1 Executive Proposal and Understanding</w:t>
      </w:r>
    </w:p>
    <w:p>
      <w:r>
        <w:t>2 Agentic Operating Model and Agent Catalogue</w:t>
      </w:r>
    </w:p>
    <w:p>
      <w:r>
        <w:t>3 Sovereign AI Hosting and Solution Architecture</w:t>
      </w:r>
    </w:p>
    <w:p>
      <w:r>
        <w:t>4 Integration Responsibility Matrix</w:t>
      </w:r>
    </w:p>
    <w:p>
      <w:r>
        <w:t>5 Data Governance and Quality</w:t>
      </w:r>
    </w:p>
    <w:p>
      <w:r>
        <w:t>6 Control Plane Policy and Approval</w:t>
      </w:r>
    </w:p>
    <w:p>
      <w:r>
        <w:t>7 Executive Experience and Corrective Action</w:t>
      </w:r>
    </w:p>
    <w:p>
      <w:r>
        <w:t>8 Cybersecurity and Privacy</w:t>
      </w:r>
    </w:p>
    <w:p>
      <w:r>
        <w:t>9 Proof of Concept</w:t>
      </w:r>
    </w:p>
    <w:p>
      <w:r>
        <w:t>10 Implementation Schedule</w:t>
      </w:r>
    </w:p>
    <w:p>
      <w:r>
        <w:t>11 Testing and Acceptance</w:t>
      </w:r>
    </w:p>
    <w:p>
      <w:r>
        <w:t>12 Training and Change Management</w:t>
      </w:r>
    </w:p>
    <w:p>
      <w:r>
        <w:t>13 Support and Managed Service</w:t>
      </w:r>
    </w:p>
    <w:p>
      <w:r>
        <w:t>14 Commercial Proposal</w:t>
      </w:r>
    </w:p>
    <w:p>
      <w:r>
        <w:t>15 Risk Register</w:t>
      </w:r>
    </w:p>
    <w:p>
      <w:r>
        <w:t>16 Assumptions Exclusions and Deviations</w:t>
      </w:r>
    </w:p>
    <w:p>
      <w:r>
        <w:t>17 Intellectual Property Data and Portability</w:t>
      </w:r>
    </w:p>
    <w:p>
      <w:r>
        <w:t>Appendix A Compliance Matrix</w:t>
      </w:r>
    </w:p>
    <w:p>
      <w:r>
        <w:br w:type="page"/>
      </w:r>
    </w:p>
    <w:p>
      <w:pPr>
        <w:pStyle w:val="Heading1"/>
      </w:pPr>
      <w:r>
        <w:t>1 Executive Proposal and Understanding</w:t>
      </w:r>
    </w:p>
    <w:p>
      <w:r>
        <w:t>Wareed requires continuous observation across branch, laboratory, Home Visit, customer experience, marketing, quality, logistics, workforce and integration health. The goal is to reduce manual follow-up, shorten signal-to-action time and provide concise executive decision intelligence.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2304"/>
            <w:shd w:fill="17365D"/>
            <w:vAlign w:val="center"/>
          </w:tcPr>
          <w:p>
            <w:r>
              <w:rPr>
                <w:b/>
                <w:color w:val="FFFFFF"/>
                <w:sz w:val="17"/>
              </w:rPr>
              <w:t>Wareed need</w:t>
            </w:r>
          </w:p>
        </w:tc>
        <w:tc>
          <w:tcPr>
            <w:tcW w:type="dxa" w:w="4320"/>
            <w:shd w:fill="17365D"/>
            <w:vAlign w:val="center"/>
          </w:tcPr>
          <w:p>
            <w:r>
              <w:rPr>
                <w:b/>
                <w:color w:val="FFFFFF"/>
                <w:sz w:val="17"/>
              </w:rPr>
              <w:t>NeoLimits response</w:t>
            </w:r>
          </w:p>
        </w:tc>
        <w:tc>
          <w:tcPr>
            <w:tcW w:type="dxa" w:w="2880"/>
            <w:shd w:fill="17365D"/>
            <w:vAlign w:val="center"/>
          </w:tcPr>
          <w:p>
            <w:r>
              <w:rPr>
                <w:b/>
                <w:color w:val="FFFFFF"/>
                <w:sz w:val="17"/>
              </w:rPr>
              <w:t>Evidence</w:t>
            </w:r>
          </w:p>
        </w:tc>
      </w:tr>
      <w:tr>
        <w:tc>
          <w:tcPr>
            <w:tcW w:type="dxa" w:w="2304"/>
            <w:vAlign w:val="center"/>
          </w:tcPr>
          <w:p>
            <w:pPr>
              <w:spacing w:after="0"/>
            </w:pPr>
            <w:r>
              <w:rPr>
                <w:sz w:val="16"/>
              </w:rPr>
              <w:t>Continuous visibility</w:t>
            </w:r>
          </w:p>
        </w:tc>
        <w:tc>
          <w:tcPr>
            <w:tcW w:type="dxa" w:w="4320"/>
            <w:vAlign w:val="center"/>
          </w:tcPr>
          <w:p>
            <w:pPr>
              <w:spacing w:after="0"/>
            </w:pPr>
            <w:r>
              <w:rPr>
                <w:sz w:val="16"/>
              </w:rPr>
              <w:t>Event-driven operational data layer and domain agents</w:t>
            </w:r>
          </w:p>
        </w:tc>
        <w:tc>
          <w:tcPr>
            <w:tcW w:type="dxa" w:w="2880"/>
            <w:vAlign w:val="center"/>
          </w:tcPr>
          <w:p>
            <w:pPr>
              <w:spacing w:after="0"/>
            </w:pPr>
            <w:r>
              <w:rPr>
                <w:sz w:val="16"/>
              </w:rPr>
              <w:t>Freshness, completeness and health measures</w:t>
            </w:r>
          </w:p>
        </w:tc>
      </w:tr>
      <w:tr>
        <w:tc>
          <w:tcPr>
            <w:tcW w:type="dxa" w:w="2304"/>
            <w:shd w:fill="EAF2F8"/>
            <w:vAlign w:val="center"/>
          </w:tcPr>
          <w:p>
            <w:pPr>
              <w:spacing w:after="0"/>
            </w:pPr>
            <w:r>
              <w:rPr>
                <w:sz w:val="16"/>
              </w:rPr>
              <w:t>Action, not passive dashboards</w:t>
            </w:r>
          </w:p>
        </w:tc>
        <w:tc>
          <w:tcPr>
            <w:tcW w:type="dxa" w:w="4320"/>
            <w:shd w:fill="EAF2F8"/>
            <w:vAlign w:val="center"/>
          </w:tcPr>
          <w:p>
            <w:pPr>
              <w:spacing w:after="0"/>
            </w:pPr>
            <w:r>
              <w:rPr>
                <w:sz w:val="16"/>
              </w:rPr>
              <w:t>Recommendations linked to owned tickets and SLAs</w:t>
            </w:r>
          </w:p>
        </w:tc>
        <w:tc>
          <w:tcPr>
            <w:tcW w:type="dxa" w:w="2880"/>
            <w:shd w:fill="EAF2F8"/>
            <w:vAlign w:val="center"/>
          </w:tcPr>
          <w:p>
            <w:pPr>
              <w:spacing w:after="0"/>
            </w:pPr>
            <w:r>
              <w:rPr>
                <w:sz w:val="16"/>
              </w:rPr>
              <w:t>Signal-to-owner and closure evidence</w:t>
            </w:r>
          </w:p>
        </w:tc>
      </w:tr>
      <w:tr>
        <w:tc>
          <w:tcPr>
            <w:tcW w:type="dxa" w:w="2304"/>
            <w:vAlign w:val="center"/>
          </w:tcPr>
          <w:p>
            <w:pPr>
              <w:spacing w:after="0"/>
            </w:pPr>
            <w:r>
              <w:rPr>
                <w:sz w:val="16"/>
              </w:rPr>
              <w:t>Sovereign operation</w:t>
            </w:r>
          </w:p>
        </w:tc>
        <w:tc>
          <w:tcPr>
            <w:tcW w:type="dxa" w:w="4320"/>
            <w:vAlign w:val="center"/>
          </w:tcPr>
          <w:p>
            <w:pPr>
              <w:spacing w:after="0"/>
            </w:pPr>
            <w:r>
              <w:rPr>
                <w:sz w:val="16"/>
              </w:rPr>
              <w:t>Saudi deployment boundary and Wareed-controlled identity, policies and logs</w:t>
            </w:r>
          </w:p>
        </w:tc>
        <w:tc>
          <w:tcPr>
            <w:tcW w:type="dxa" w:w="2880"/>
            <w:vAlign w:val="center"/>
          </w:tcPr>
          <w:p>
            <w:pPr>
              <w:spacing w:after="0"/>
            </w:pPr>
            <w:r>
              <w:rPr>
                <w:sz w:val="16"/>
              </w:rPr>
              <w:t>Approved data-flow and control evidence</w:t>
            </w:r>
          </w:p>
        </w:tc>
      </w:tr>
      <w:tr>
        <w:tc>
          <w:tcPr>
            <w:tcW w:type="dxa" w:w="2304"/>
            <w:shd w:fill="EAF2F8"/>
            <w:vAlign w:val="center"/>
          </w:tcPr>
          <w:p>
            <w:pPr>
              <w:spacing w:after="0"/>
            </w:pPr>
            <w:r>
              <w:rPr>
                <w:sz w:val="16"/>
              </w:rPr>
              <w:t>Practical autonomy</w:t>
            </w:r>
          </w:p>
        </w:tc>
        <w:tc>
          <w:tcPr>
            <w:tcW w:type="dxa" w:w="4320"/>
            <w:shd w:fill="EAF2F8"/>
            <w:vAlign w:val="center"/>
          </w:tcPr>
          <w:p>
            <w:pPr>
              <w:spacing w:after="0"/>
            </w:pPr>
            <w:r>
              <w:rPr>
                <w:sz w:val="16"/>
              </w:rPr>
              <w:t>Five levels enforced by permissions and approvals</w:t>
            </w:r>
          </w:p>
        </w:tc>
        <w:tc>
          <w:tcPr>
            <w:tcW w:type="dxa" w:w="2880"/>
            <w:shd w:fill="EAF2F8"/>
            <w:vAlign w:val="center"/>
          </w:tcPr>
          <w:p>
            <w:pPr>
              <w:spacing w:after="0"/>
            </w:pPr>
            <w:r>
              <w:rPr>
                <w:sz w:val="16"/>
              </w:rPr>
              <w:t>Zero unauthorized actions</w:t>
            </w:r>
          </w:p>
        </w:tc>
      </w:tr>
      <w:tr>
        <w:tc>
          <w:tcPr>
            <w:tcW w:type="dxa" w:w="2304"/>
            <w:vAlign w:val="center"/>
          </w:tcPr>
          <w:p>
            <w:pPr>
              <w:spacing w:after="0"/>
            </w:pPr>
            <w:r>
              <w:rPr>
                <w:sz w:val="16"/>
              </w:rPr>
              <w:t>Executive clarity</w:t>
            </w:r>
          </w:p>
        </w:tc>
        <w:tc>
          <w:tcPr>
            <w:tcW w:type="dxa" w:w="4320"/>
            <w:vAlign w:val="center"/>
          </w:tcPr>
          <w:p>
            <w:pPr>
              <w:spacing w:after="0"/>
            </w:pPr>
            <w:r>
              <w:rPr>
                <w:sz w:val="16"/>
              </w:rPr>
              <w:t>Daily brief, decision queue and drill-down</w:t>
            </w:r>
          </w:p>
        </w:tc>
        <w:tc>
          <w:tcPr>
            <w:tcW w:type="dxa" w:w="2880"/>
            <w:vAlign w:val="center"/>
          </w:tcPr>
          <w:p>
            <w:pPr>
              <w:spacing w:after="0"/>
            </w:pPr>
            <w:r>
              <w:rPr>
                <w:sz w:val="16"/>
              </w:rPr>
              <w:t>Decision latency and fewer raw reports</w:t>
            </w:r>
          </w:p>
        </w:tc>
      </w:tr>
      <w:tr>
        <w:tc>
          <w:tcPr>
            <w:tcW w:type="dxa" w:w="2304"/>
            <w:shd w:fill="EAF2F8"/>
            <w:vAlign w:val="center"/>
          </w:tcPr>
          <w:p>
            <w:pPr>
              <w:spacing w:after="0"/>
            </w:pPr>
            <w:r>
              <w:rPr>
                <w:sz w:val="16"/>
              </w:rPr>
              <w:t>Measurable value</w:t>
            </w:r>
          </w:p>
        </w:tc>
        <w:tc>
          <w:tcPr>
            <w:tcW w:type="dxa" w:w="4320"/>
            <w:shd w:fill="EAF2F8"/>
            <w:vAlign w:val="center"/>
          </w:tcPr>
          <w:p>
            <w:pPr>
              <w:spacing w:after="0"/>
            </w:pPr>
            <w:r>
              <w:rPr>
                <w:sz w:val="16"/>
              </w:rPr>
              <w:t>Baseline-first delivery and benefit scorecards</w:t>
            </w:r>
          </w:p>
        </w:tc>
        <w:tc>
          <w:tcPr>
            <w:tcW w:type="dxa" w:w="2880"/>
            <w:shd w:fill="EAF2F8"/>
            <w:vAlign w:val="center"/>
          </w:tcPr>
          <w:p>
            <w:pPr>
              <w:spacing w:after="0"/>
            </w:pPr>
            <w:r>
              <w:rPr>
                <w:sz w:val="16"/>
              </w:rPr>
              <w:t>Agreed KPI movement</w:t>
            </w:r>
          </w:p>
        </w:tc>
      </w:tr>
    </w:tbl>
    <w:p/>
    <w:p>
      <w:pPr>
        <w:pStyle w:val="Heading2"/>
      </w:pPr>
      <w:r>
        <w:t>Commitments</w:t>
      </w:r>
    </w:p>
    <w:p>
      <w:pPr>
        <w:pStyle w:val="ListBullet"/>
      </w:pPr>
      <w:r>
        <w:t>No clinical diagnosis, interpretation or result release.</w:t>
      </w:r>
    </w:p>
    <w:p>
      <w:pPr>
        <w:pStyle w:val="ListBullet"/>
      </w:pPr>
      <w:r>
        <w:t>Outputs visibly degrade or stop when critical data is stale or unavailable.</w:t>
      </w:r>
    </w:p>
    <w:p>
      <w:pPr>
        <w:pStyle w:val="ListBullet"/>
      </w:pPr>
      <w:r>
        <w:t>Human override and emergency stop remain available at all times.</w:t>
      </w:r>
    </w:p>
    <w:p>
      <w:pPr>
        <w:pStyle w:val="ListBullet"/>
      </w:pPr>
      <w:r>
        <w:t>No Wareed data trains a shared or third-party model without written approval.</w:t>
      </w:r>
    </w:p>
    <w:p>
      <w:r>
        <w:br w:type="page"/>
      </w:r>
    </w:p>
    <w:p>
      <w:pPr>
        <w:pStyle w:val="Heading1"/>
      </w:pPr>
      <w:r>
        <w:t>2 Agentic Operating Model and Agent Catalogue</w:t>
      </w:r>
    </w:p>
    <w:p>
      <w:r>
        <w:t>Domain owners retain accountability for KPIs, policies and outcomes. Agents receive constrained missions, isolated data scope, approved tools, explicit escalation and measurable release criteria.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c>
          <w:tcPr>
            <w:tcW w:type="dxa" w:w="936"/>
            <w:shd w:fill="17365D"/>
            <w:vAlign w:val="center"/>
          </w:tcPr>
          <w:p>
            <w:r>
              <w:rPr>
                <w:b/>
                <w:color w:val="FFFFFF"/>
                <w:sz w:val="17"/>
              </w:rPr>
              <w:t>ID</w:t>
            </w:r>
          </w:p>
        </w:tc>
        <w:tc>
          <w:tcPr>
            <w:tcW w:type="dxa" w:w="3096"/>
            <w:shd w:fill="17365D"/>
            <w:vAlign w:val="center"/>
          </w:tcPr>
          <w:p>
            <w:r>
              <w:rPr>
                <w:b/>
                <w:color w:val="FFFFFF"/>
                <w:sz w:val="17"/>
              </w:rPr>
              <w:t>Agent or service</w:t>
            </w:r>
          </w:p>
        </w:tc>
        <w:tc>
          <w:tcPr>
            <w:tcW w:type="dxa" w:w="1584"/>
            <w:shd w:fill="17365D"/>
            <w:vAlign w:val="center"/>
          </w:tcPr>
          <w:p>
            <w:r>
              <w:rPr>
                <w:b/>
                <w:color w:val="FFFFFF"/>
                <w:sz w:val="17"/>
              </w:rPr>
              <w:t>Release</w:t>
            </w:r>
          </w:p>
        </w:tc>
        <w:tc>
          <w:tcPr>
            <w:tcW w:type="dxa" w:w="3960"/>
            <w:shd w:fill="17365D"/>
            <w:vAlign w:val="center"/>
          </w:tcPr>
          <w:p>
            <w:r>
              <w:rPr>
                <w:b/>
                <w:color w:val="FFFFFF"/>
                <w:sz w:val="17"/>
              </w:rPr>
              <w:t>Mission</w:t>
            </w:r>
          </w:p>
        </w:tc>
      </w:tr>
      <w:tr>
        <w:tc>
          <w:tcPr>
            <w:tcW w:type="dxa" w:w="936"/>
            <w:vAlign w:val="center"/>
          </w:tcPr>
          <w:p>
            <w:pPr>
              <w:spacing w:after="0"/>
            </w:pPr>
            <w:r>
              <w:rPr>
                <w:sz w:val="16"/>
              </w:rPr>
              <w:t>A0</w:t>
            </w:r>
          </w:p>
        </w:tc>
        <w:tc>
          <w:tcPr>
            <w:tcW w:type="dxa" w:w="3096"/>
            <w:vAlign w:val="center"/>
          </w:tcPr>
          <w:p>
            <w:pPr>
              <w:spacing w:after="0"/>
            </w:pPr>
            <w:r>
              <w:rPr>
                <w:sz w:val="16"/>
              </w:rPr>
              <w:t>Orchestrator</w:t>
            </w:r>
          </w:p>
        </w:tc>
        <w:tc>
          <w:tcPr>
            <w:tcW w:type="dxa" w:w="1584"/>
            <w:vAlign w:val="center"/>
          </w:tcPr>
          <w:p>
            <w:pPr>
              <w:spacing w:after="0"/>
            </w:pPr>
            <w:r>
              <w:rPr>
                <w:sz w:val="16"/>
              </w:rPr>
              <w:t>Foundation</w:t>
            </w:r>
          </w:p>
        </w:tc>
        <w:tc>
          <w:tcPr>
            <w:tcW w:type="dxa" w:w="3960"/>
            <w:vAlign w:val="center"/>
          </w:tcPr>
          <w:p>
            <w:pPr>
              <w:spacing w:after="0"/>
            </w:pPr>
            <w:r>
              <w:rPr>
                <w:sz w:val="16"/>
              </w:rPr>
              <w:t>Prioritize and govern cross-domain work</w:t>
            </w:r>
          </w:p>
        </w:tc>
      </w:tr>
      <w:tr>
        <w:tc>
          <w:tcPr>
            <w:tcW w:type="dxa" w:w="936"/>
            <w:shd w:fill="EAF2F8"/>
            <w:vAlign w:val="center"/>
          </w:tcPr>
          <w:p>
            <w:pPr>
              <w:spacing w:after="0"/>
            </w:pPr>
            <w:r>
              <w:rPr>
                <w:sz w:val="16"/>
              </w:rPr>
              <w:t>A1</w:t>
            </w:r>
          </w:p>
        </w:tc>
        <w:tc>
          <w:tcPr>
            <w:tcW w:type="dxa" w:w="3096"/>
            <w:shd w:fill="EAF2F8"/>
            <w:vAlign w:val="center"/>
          </w:tcPr>
          <w:p>
            <w:pPr>
              <w:spacing w:after="0"/>
            </w:pPr>
            <w:r>
              <w:rPr>
                <w:sz w:val="16"/>
              </w:rPr>
              <w:t>Executive Intelligence</w:t>
            </w:r>
          </w:p>
        </w:tc>
        <w:tc>
          <w:tcPr>
            <w:tcW w:type="dxa" w:w="1584"/>
            <w:shd w:fill="EAF2F8"/>
            <w:vAlign w:val="center"/>
          </w:tcPr>
          <w:p>
            <w:pPr>
              <w:spacing w:after="0"/>
            </w:pPr>
            <w:r>
              <w:rPr>
                <w:sz w:val="16"/>
              </w:rPr>
              <w:t>MVP</w:t>
            </w:r>
          </w:p>
        </w:tc>
        <w:tc>
          <w:tcPr>
            <w:tcW w:type="dxa" w:w="3960"/>
            <w:shd w:fill="EAF2F8"/>
            <w:vAlign w:val="center"/>
          </w:tcPr>
          <w:p>
            <w:pPr>
              <w:spacing w:after="0"/>
            </w:pPr>
            <w:r>
              <w:rPr>
                <w:sz w:val="16"/>
              </w:rPr>
              <w:t>Daily brief and decision queue</w:t>
            </w:r>
          </w:p>
        </w:tc>
      </w:tr>
      <w:tr>
        <w:tc>
          <w:tcPr>
            <w:tcW w:type="dxa" w:w="936"/>
            <w:vAlign w:val="center"/>
          </w:tcPr>
          <w:p>
            <w:pPr>
              <w:spacing w:after="0"/>
            </w:pPr>
            <w:r>
              <w:rPr>
                <w:sz w:val="16"/>
              </w:rPr>
              <w:t>A2</w:t>
            </w:r>
          </w:p>
        </w:tc>
        <w:tc>
          <w:tcPr>
            <w:tcW w:type="dxa" w:w="3096"/>
            <w:vAlign w:val="center"/>
          </w:tcPr>
          <w:p>
            <w:pPr>
              <w:spacing w:after="0"/>
            </w:pPr>
            <w:r>
              <w:rPr>
                <w:sz w:val="16"/>
              </w:rPr>
              <w:t>Branch Operations</w:t>
            </w:r>
          </w:p>
        </w:tc>
        <w:tc>
          <w:tcPr>
            <w:tcW w:type="dxa" w:w="1584"/>
            <w:vAlign w:val="center"/>
          </w:tcPr>
          <w:p>
            <w:pPr>
              <w:spacing w:after="0"/>
            </w:pPr>
            <w:r>
              <w:rPr>
                <w:sz w:val="16"/>
              </w:rPr>
              <w:t>MVP</w:t>
            </w:r>
          </w:p>
        </w:tc>
        <w:tc>
          <w:tcPr>
            <w:tcW w:type="dxa" w:w="3960"/>
            <w:vAlign w:val="center"/>
          </w:tcPr>
          <w:p>
            <w:pPr>
              <w:spacing w:after="0"/>
            </w:pPr>
            <w:r>
              <w:rPr>
                <w:sz w:val="16"/>
              </w:rPr>
              <w:t>Volume, wait, revenue, staffing and complaints</w:t>
            </w:r>
          </w:p>
        </w:tc>
      </w:tr>
      <w:tr>
        <w:tc>
          <w:tcPr>
            <w:tcW w:type="dxa" w:w="936"/>
            <w:shd w:fill="EAF2F8"/>
            <w:vAlign w:val="center"/>
          </w:tcPr>
          <w:p>
            <w:pPr>
              <w:spacing w:after="0"/>
            </w:pPr>
            <w:r>
              <w:rPr>
                <w:sz w:val="16"/>
              </w:rPr>
              <w:t>A3</w:t>
            </w:r>
          </w:p>
        </w:tc>
        <w:tc>
          <w:tcPr>
            <w:tcW w:type="dxa" w:w="3096"/>
            <w:shd w:fill="EAF2F8"/>
            <w:vAlign w:val="center"/>
          </w:tcPr>
          <w:p>
            <w:pPr>
              <w:spacing w:after="0"/>
            </w:pPr>
            <w:r>
              <w:rPr>
                <w:sz w:val="16"/>
              </w:rPr>
              <w:t>Laboratory and TAT</w:t>
            </w:r>
          </w:p>
        </w:tc>
        <w:tc>
          <w:tcPr>
            <w:tcW w:type="dxa" w:w="1584"/>
            <w:shd w:fill="EAF2F8"/>
            <w:vAlign w:val="center"/>
          </w:tcPr>
          <w:p>
            <w:pPr>
              <w:spacing w:after="0"/>
            </w:pPr>
            <w:r>
              <w:rPr>
                <w:sz w:val="16"/>
              </w:rPr>
              <w:t>MVP</w:t>
            </w:r>
          </w:p>
        </w:tc>
        <w:tc>
          <w:tcPr>
            <w:tcW w:type="dxa" w:w="3960"/>
            <w:shd w:fill="EAF2F8"/>
            <w:vAlign w:val="center"/>
          </w:tcPr>
          <w:p>
            <w:pPr>
              <w:spacing w:after="0"/>
            </w:pPr>
            <w:r>
              <w:rPr>
                <w:sz w:val="16"/>
              </w:rPr>
              <w:t>Sample flow, QC and operational bottlenecks</w:t>
            </w:r>
          </w:p>
        </w:tc>
      </w:tr>
      <w:tr>
        <w:tc>
          <w:tcPr>
            <w:tcW w:type="dxa" w:w="936"/>
            <w:vAlign w:val="center"/>
          </w:tcPr>
          <w:p>
            <w:pPr>
              <w:spacing w:after="0"/>
            </w:pPr>
            <w:r>
              <w:rPr>
                <w:sz w:val="16"/>
              </w:rPr>
              <w:t>A4</w:t>
            </w:r>
          </w:p>
        </w:tc>
        <w:tc>
          <w:tcPr>
            <w:tcW w:type="dxa" w:w="3096"/>
            <w:vAlign w:val="center"/>
          </w:tcPr>
          <w:p>
            <w:pPr>
              <w:spacing w:after="0"/>
            </w:pPr>
            <w:r>
              <w:rPr>
                <w:sz w:val="16"/>
              </w:rPr>
              <w:t>Home Visit</w:t>
            </w:r>
          </w:p>
        </w:tc>
        <w:tc>
          <w:tcPr>
            <w:tcW w:type="dxa" w:w="1584"/>
            <w:vAlign w:val="center"/>
          </w:tcPr>
          <w:p>
            <w:pPr>
              <w:spacing w:after="0"/>
            </w:pPr>
            <w:r>
              <w:rPr>
                <w:sz w:val="16"/>
              </w:rPr>
              <w:t>MVP</w:t>
            </w:r>
          </w:p>
        </w:tc>
        <w:tc>
          <w:tcPr>
            <w:tcW w:type="dxa" w:w="3960"/>
            <w:vAlign w:val="center"/>
          </w:tcPr>
          <w:p>
            <w:pPr>
              <w:spacing w:after="0"/>
            </w:pPr>
            <w:r>
              <w:rPr>
                <w:sz w:val="16"/>
              </w:rPr>
              <w:t>Capacity, delays, routes and productivity</w:t>
            </w:r>
          </w:p>
        </w:tc>
      </w:tr>
      <w:tr>
        <w:tc>
          <w:tcPr>
            <w:tcW w:type="dxa" w:w="936"/>
            <w:shd w:fill="EAF2F8"/>
            <w:vAlign w:val="center"/>
          </w:tcPr>
          <w:p>
            <w:pPr>
              <w:spacing w:after="0"/>
            </w:pPr>
            <w:r>
              <w:rPr>
                <w:sz w:val="16"/>
              </w:rPr>
              <w:t>A5</w:t>
            </w:r>
          </w:p>
        </w:tc>
        <w:tc>
          <w:tcPr>
            <w:tcW w:type="dxa" w:w="3096"/>
            <w:shd w:fill="EAF2F8"/>
            <w:vAlign w:val="center"/>
          </w:tcPr>
          <w:p>
            <w:pPr>
              <w:spacing w:after="0"/>
            </w:pPr>
            <w:r>
              <w:rPr>
                <w:sz w:val="16"/>
              </w:rPr>
              <w:t>Customer Experience</w:t>
            </w:r>
          </w:p>
        </w:tc>
        <w:tc>
          <w:tcPr>
            <w:tcW w:type="dxa" w:w="1584"/>
            <w:shd w:fill="EAF2F8"/>
            <w:vAlign w:val="center"/>
          </w:tcPr>
          <w:p>
            <w:pPr>
              <w:spacing w:after="0"/>
            </w:pPr>
            <w:r>
              <w:rPr>
                <w:sz w:val="16"/>
              </w:rPr>
              <w:t>MVP</w:t>
            </w:r>
          </w:p>
        </w:tc>
        <w:tc>
          <w:tcPr>
            <w:tcW w:type="dxa" w:w="3960"/>
            <w:shd w:fill="EAF2F8"/>
            <w:vAlign w:val="center"/>
          </w:tcPr>
          <w:p>
            <w:pPr>
              <w:spacing w:after="0"/>
            </w:pPr>
            <w:r>
              <w:rPr>
                <w:sz w:val="16"/>
              </w:rPr>
              <w:t>Complaints and recurring themes</w:t>
            </w:r>
          </w:p>
        </w:tc>
      </w:tr>
      <w:tr>
        <w:tc>
          <w:tcPr>
            <w:tcW w:type="dxa" w:w="936"/>
            <w:vAlign w:val="center"/>
          </w:tcPr>
          <w:p>
            <w:pPr>
              <w:spacing w:after="0"/>
            </w:pPr>
            <w:r>
              <w:rPr>
                <w:sz w:val="16"/>
              </w:rPr>
              <w:t>A6</w:t>
            </w:r>
          </w:p>
        </w:tc>
        <w:tc>
          <w:tcPr>
            <w:tcW w:type="dxa" w:w="3096"/>
            <w:vAlign w:val="center"/>
          </w:tcPr>
          <w:p>
            <w:pPr>
              <w:spacing w:after="0"/>
            </w:pPr>
            <w:r>
              <w:rPr>
                <w:sz w:val="16"/>
              </w:rPr>
              <w:t>Marketing and Growth</w:t>
            </w:r>
          </w:p>
        </w:tc>
        <w:tc>
          <w:tcPr>
            <w:tcW w:type="dxa" w:w="1584"/>
            <w:vAlign w:val="center"/>
          </w:tcPr>
          <w:p>
            <w:pPr>
              <w:spacing w:after="0"/>
            </w:pPr>
            <w:r>
              <w:rPr>
                <w:sz w:val="16"/>
              </w:rPr>
              <w:t>MVP</w:t>
            </w:r>
          </w:p>
        </w:tc>
        <w:tc>
          <w:tcPr>
            <w:tcW w:type="dxa" w:w="3960"/>
            <w:vAlign w:val="center"/>
          </w:tcPr>
          <w:p>
            <w:pPr>
              <w:spacing w:after="0"/>
            </w:pPr>
            <w:r>
              <w:rPr>
                <w:sz w:val="16"/>
              </w:rPr>
              <w:t>Campaign and branch performance</w:t>
            </w:r>
          </w:p>
        </w:tc>
      </w:tr>
      <w:tr>
        <w:tc>
          <w:tcPr>
            <w:tcW w:type="dxa" w:w="936"/>
            <w:shd w:fill="EAF2F8"/>
            <w:vAlign w:val="center"/>
          </w:tcPr>
          <w:p>
            <w:pPr>
              <w:spacing w:after="0"/>
            </w:pPr>
            <w:r>
              <w:rPr>
                <w:sz w:val="16"/>
              </w:rPr>
              <w:t>A7-A12</w:t>
            </w:r>
          </w:p>
        </w:tc>
        <w:tc>
          <w:tcPr>
            <w:tcW w:type="dxa" w:w="3096"/>
            <w:shd w:fill="EAF2F8"/>
            <w:vAlign w:val="center"/>
          </w:tcPr>
          <w:p>
            <w:pPr>
              <w:spacing w:after="0"/>
            </w:pPr>
            <w:r>
              <w:rPr>
                <w:sz w:val="16"/>
              </w:rPr>
              <w:t>Extended domain agents</w:t>
            </w:r>
          </w:p>
        </w:tc>
        <w:tc>
          <w:tcPr>
            <w:tcW w:type="dxa" w:w="1584"/>
            <w:shd w:fill="EAF2F8"/>
            <w:vAlign w:val="center"/>
          </w:tcPr>
          <w:p>
            <w:pPr>
              <w:spacing w:after="0"/>
            </w:pPr>
            <w:r>
              <w:rPr>
                <w:sz w:val="16"/>
              </w:rPr>
              <w:t>Extended</w:t>
            </w:r>
          </w:p>
        </w:tc>
        <w:tc>
          <w:tcPr>
            <w:tcW w:type="dxa" w:w="3960"/>
            <w:shd w:fill="EAF2F8"/>
            <w:vAlign w:val="center"/>
          </w:tcPr>
          <w:p>
            <w:pPr>
              <w:spacing w:after="0"/>
            </w:pPr>
            <w:r>
              <w:rPr>
                <w:sz w:val="16"/>
              </w:rPr>
              <w:t>Logistics, launch, quality, workforce, field and IT health</w:t>
            </w:r>
          </w:p>
        </w:tc>
      </w:tr>
      <w:tr>
        <w:tc>
          <w:tcPr>
            <w:tcW w:type="dxa" w:w="936"/>
            <w:vAlign w:val="center"/>
          </w:tcPr>
          <w:p>
            <w:pPr>
              <w:spacing w:after="0"/>
            </w:pPr>
            <w:r>
              <w:rPr>
                <w:sz w:val="16"/>
              </w:rPr>
              <w:t>S1</w:t>
            </w:r>
          </w:p>
        </w:tc>
        <w:tc>
          <w:tcPr>
            <w:tcW w:type="dxa" w:w="3096"/>
            <w:vAlign w:val="center"/>
          </w:tcPr>
          <w:p>
            <w:pPr>
              <w:spacing w:after="0"/>
            </w:pPr>
            <w:r>
              <w:rPr>
                <w:sz w:val="16"/>
              </w:rPr>
              <w:t>Data Quality</w:t>
            </w:r>
          </w:p>
        </w:tc>
        <w:tc>
          <w:tcPr>
            <w:tcW w:type="dxa" w:w="1584"/>
            <w:vAlign w:val="center"/>
          </w:tcPr>
          <w:p>
            <w:pPr>
              <w:spacing w:after="0"/>
            </w:pPr>
            <w:r>
              <w:rPr>
                <w:sz w:val="16"/>
              </w:rPr>
              <w:t>Foundation</w:t>
            </w:r>
          </w:p>
        </w:tc>
        <w:tc>
          <w:tcPr>
            <w:tcW w:type="dxa" w:w="3960"/>
            <w:vAlign w:val="center"/>
          </w:tcPr>
          <w:p>
            <w:pPr>
              <w:spacing w:after="0"/>
            </w:pPr>
            <w:r>
              <w:rPr>
                <w:sz w:val="16"/>
              </w:rPr>
              <w:t>Validation, MDM and ownership</w:t>
            </w:r>
          </w:p>
        </w:tc>
      </w:tr>
      <w:tr>
        <w:tc>
          <w:tcPr>
            <w:tcW w:type="dxa" w:w="936"/>
            <w:shd w:fill="EAF2F8"/>
            <w:vAlign w:val="center"/>
          </w:tcPr>
          <w:p>
            <w:pPr>
              <w:spacing w:after="0"/>
            </w:pPr>
            <w:r>
              <w:rPr>
                <w:sz w:val="16"/>
              </w:rPr>
              <w:t>S2</w:t>
            </w:r>
          </w:p>
        </w:tc>
        <w:tc>
          <w:tcPr>
            <w:tcW w:type="dxa" w:w="3096"/>
            <w:shd w:fill="EAF2F8"/>
            <w:vAlign w:val="center"/>
          </w:tcPr>
          <w:p>
            <w:pPr>
              <w:spacing w:after="0"/>
            </w:pPr>
            <w:r>
              <w:rPr>
                <w:sz w:val="16"/>
              </w:rPr>
              <w:t>Corrective Action</w:t>
            </w:r>
          </w:p>
        </w:tc>
        <w:tc>
          <w:tcPr>
            <w:tcW w:type="dxa" w:w="1584"/>
            <w:shd w:fill="EAF2F8"/>
            <w:vAlign w:val="center"/>
          </w:tcPr>
          <w:p>
            <w:pPr>
              <w:spacing w:after="0"/>
            </w:pPr>
            <w:r>
              <w:rPr>
                <w:sz w:val="16"/>
              </w:rPr>
              <w:t>Foundation</w:t>
            </w:r>
          </w:p>
        </w:tc>
        <w:tc>
          <w:tcPr>
            <w:tcW w:type="dxa" w:w="3960"/>
            <w:shd w:fill="EAF2F8"/>
            <w:vAlign w:val="center"/>
          </w:tcPr>
          <w:p>
            <w:pPr>
              <w:spacing w:after="0"/>
            </w:pPr>
            <w:r>
              <w:rPr>
                <w:sz w:val="16"/>
              </w:rPr>
              <w:t>Severity, owner, SLA, escalation and closure</w:t>
            </w:r>
          </w:p>
        </w:tc>
      </w:tr>
      <w:tr>
        <w:tc>
          <w:tcPr>
            <w:tcW w:type="dxa" w:w="936"/>
            <w:vAlign w:val="center"/>
          </w:tcPr>
          <w:p>
            <w:pPr>
              <w:spacing w:after="0"/>
            </w:pPr>
            <w:r>
              <w:rPr>
                <w:sz w:val="16"/>
              </w:rPr>
              <w:t>S3</w:t>
            </w:r>
          </w:p>
        </w:tc>
        <w:tc>
          <w:tcPr>
            <w:tcW w:type="dxa" w:w="3096"/>
            <w:vAlign w:val="center"/>
          </w:tcPr>
          <w:p>
            <w:pPr>
              <w:spacing w:after="0"/>
            </w:pPr>
            <w:r>
              <w:rPr>
                <w:sz w:val="16"/>
              </w:rPr>
              <w:t>Vision Events</w:t>
            </w:r>
          </w:p>
        </w:tc>
        <w:tc>
          <w:tcPr>
            <w:tcW w:type="dxa" w:w="1584"/>
            <w:vAlign w:val="center"/>
          </w:tcPr>
          <w:p>
            <w:pPr>
              <w:spacing w:after="0"/>
            </w:pPr>
            <w:r>
              <w:rPr>
                <w:sz w:val="16"/>
              </w:rPr>
              <w:t>Optional</w:t>
            </w:r>
          </w:p>
        </w:tc>
        <w:tc>
          <w:tcPr>
            <w:tcW w:type="dxa" w:w="3960"/>
            <w:vAlign w:val="center"/>
          </w:tcPr>
          <w:p>
            <w:pPr>
              <w:spacing w:after="0"/>
            </w:pPr>
            <w:r>
              <w:rPr>
                <w:sz w:val="16"/>
              </w:rPr>
              <w:t>Privacy-aware events; no facial identification</w:t>
            </w:r>
          </w:p>
        </w:tc>
      </w:tr>
    </w:tbl>
    <w:p/>
    <w:p>
      <w:pPr>
        <w:pStyle w:val="Heading2"/>
      </w:pPr>
      <w:r>
        <w:t>Common agent contract</w:t>
      </w:r>
    </w:p>
    <w:p>
      <w:pPr>
        <w:pStyle w:val="ListBullet"/>
      </w:pPr>
      <w:r>
        <w:t>Mission, business owner and approved data scope.</w:t>
      </w:r>
    </w:p>
    <w:p>
      <w:pPr>
        <w:pStyle w:val="ListBullet"/>
      </w:pPr>
      <w:r>
        <w:t>Maximum authority level and allow-listed tools.</w:t>
      </w:r>
    </w:p>
    <w:p>
      <w:pPr>
        <w:pStyle w:val="ListBullet"/>
      </w:pPr>
      <w:r>
        <w:t>Freshness and quality prerequisites.</w:t>
      </w:r>
    </w:p>
    <w:p>
      <w:pPr>
        <w:pStyle w:val="ListBullet"/>
      </w:pPr>
      <w:r>
        <w:t>Evidence, confidence and escalation rules.</w:t>
      </w:r>
    </w:p>
    <w:p>
      <w:pPr>
        <w:pStyle w:val="ListBullet"/>
      </w:pPr>
      <w:r>
        <w:t>Override, emergency stop and audit requirements.</w:t>
      </w:r>
    </w:p>
    <w:p>
      <w:pPr>
        <w:pStyle w:val="ListBullet"/>
      </w:pPr>
      <w:r>
        <w:t>Evaluation set, drift triggers and retirement criteria.</w:t>
      </w:r>
    </w:p>
    <w:p>
      <w:r>
        <w:br w:type="page"/>
      </w:r>
    </w:p>
    <w:p>
      <w:pPr>
        <w:pStyle w:val="Heading1"/>
      </w:pPr>
      <w:r>
        <w:t>3 Sovereign AI Hosting and Solution Architecture</w:t>
      </w:r>
    </w:p>
    <w:p>
      <w:r>
        <w:t>The target is a Saudi-resident deployment for sensitive workloads, subject to Wareed legal and cybersecurity approval. Business logic is separated from model providers to support portability.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1872"/>
            <w:shd w:fill="17365D"/>
            <w:vAlign w:val="center"/>
          </w:tcPr>
          <w:p>
            <w:r>
              <w:rPr>
                <w:b/>
                <w:color w:val="FFFFFF"/>
                <w:sz w:val="17"/>
              </w:rPr>
              <w:t>Layer</w:t>
            </w:r>
          </w:p>
        </w:tc>
        <w:tc>
          <w:tcPr>
            <w:tcW w:type="dxa" w:w="4464"/>
            <w:shd w:fill="17365D"/>
            <w:vAlign w:val="center"/>
          </w:tcPr>
          <w:p>
            <w:r>
              <w:rPr>
                <w:b/>
                <w:color w:val="FFFFFF"/>
                <w:sz w:val="17"/>
              </w:rPr>
              <w:t>Components</w:t>
            </w:r>
          </w:p>
        </w:tc>
        <w:tc>
          <w:tcPr>
            <w:tcW w:type="dxa" w:w="3312"/>
            <w:shd w:fill="17365D"/>
            <w:vAlign w:val="center"/>
          </w:tcPr>
          <w:p>
            <w:r>
              <w:rPr>
                <w:b/>
                <w:color w:val="FFFFFF"/>
                <w:sz w:val="17"/>
              </w:rPr>
              <w:t>Intent</w:t>
            </w:r>
          </w:p>
        </w:tc>
      </w:tr>
      <w:tr>
        <w:tc>
          <w:tcPr>
            <w:tcW w:type="dxa" w:w="1872"/>
            <w:vAlign w:val="center"/>
          </w:tcPr>
          <w:p>
            <w:pPr>
              <w:spacing w:after="0"/>
            </w:pPr>
            <w:r>
              <w:rPr>
                <w:sz w:val="16"/>
              </w:rPr>
              <w:t>Experience</w:t>
            </w:r>
          </w:p>
        </w:tc>
        <w:tc>
          <w:tcPr>
            <w:tcW w:type="dxa" w:w="4464"/>
            <w:vAlign w:val="center"/>
          </w:tcPr>
          <w:p>
            <w:pPr>
              <w:spacing w:after="0"/>
            </w:pPr>
            <w:r>
              <w:rPr>
                <w:sz w:val="16"/>
              </w:rPr>
              <w:t>CEO brief, dashboards, alerts and approval queues</w:t>
            </w:r>
          </w:p>
        </w:tc>
        <w:tc>
          <w:tcPr>
            <w:tcW w:type="dxa" w:w="3312"/>
            <w:vAlign w:val="center"/>
          </w:tcPr>
          <w:p>
            <w:pPr>
              <w:spacing w:after="0"/>
            </w:pPr>
            <w:r>
              <w:rPr>
                <w:sz w:val="16"/>
              </w:rPr>
              <w:t>Push decisions with evidence</w:t>
            </w:r>
          </w:p>
        </w:tc>
      </w:tr>
      <w:tr>
        <w:tc>
          <w:tcPr>
            <w:tcW w:type="dxa" w:w="1872"/>
            <w:shd w:fill="EAF2F8"/>
            <w:vAlign w:val="center"/>
          </w:tcPr>
          <w:p>
            <w:pPr>
              <w:spacing w:after="0"/>
            </w:pPr>
            <w:r>
              <w:rPr>
                <w:sz w:val="16"/>
              </w:rPr>
              <w:t>Domain agents</w:t>
            </w:r>
          </w:p>
        </w:tc>
        <w:tc>
          <w:tcPr>
            <w:tcW w:type="dxa" w:w="4464"/>
            <w:shd w:fill="EAF2F8"/>
            <w:vAlign w:val="center"/>
          </w:tcPr>
          <w:p>
            <w:pPr>
              <w:spacing w:after="0"/>
            </w:pPr>
            <w:r>
              <w:rPr>
                <w:sz w:val="16"/>
              </w:rPr>
              <w:t>A1-A12 with constrained context</w:t>
            </w:r>
          </w:p>
        </w:tc>
        <w:tc>
          <w:tcPr>
            <w:tcW w:type="dxa" w:w="3312"/>
            <w:shd w:fill="EAF2F8"/>
            <w:vAlign w:val="center"/>
          </w:tcPr>
          <w:p>
            <w:pPr>
              <w:spacing w:after="0"/>
            </w:pPr>
            <w:r>
              <w:rPr>
                <w:sz w:val="16"/>
              </w:rPr>
              <w:t>Align mission and ownership</w:t>
            </w:r>
          </w:p>
        </w:tc>
      </w:tr>
      <w:tr>
        <w:tc>
          <w:tcPr>
            <w:tcW w:type="dxa" w:w="1872"/>
            <w:vAlign w:val="center"/>
          </w:tcPr>
          <w:p>
            <w:pPr>
              <w:spacing w:after="0"/>
            </w:pPr>
            <w:r>
              <w:rPr>
                <w:sz w:val="16"/>
              </w:rPr>
              <w:t>Control plane</w:t>
            </w:r>
          </w:p>
        </w:tc>
        <w:tc>
          <w:tcPr>
            <w:tcW w:type="dxa" w:w="4464"/>
            <w:vAlign w:val="center"/>
          </w:tcPr>
          <w:p>
            <w:pPr>
              <w:spacing w:after="0"/>
            </w:pPr>
            <w:r>
              <w:rPr>
                <w:sz w:val="16"/>
              </w:rPr>
              <w:t>Registry, orchestration, policy, tools, evaluation and observability</w:t>
            </w:r>
          </w:p>
        </w:tc>
        <w:tc>
          <w:tcPr>
            <w:tcW w:type="dxa" w:w="3312"/>
            <w:vAlign w:val="center"/>
          </w:tcPr>
          <w:p>
            <w:pPr>
              <w:spacing w:after="0"/>
            </w:pPr>
            <w:r>
              <w:rPr>
                <w:sz w:val="16"/>
              </w:rPr>
              <w:t>Enforce auditable autonomy</w:t>
            </w:r>
          </w:p>
        </w:tc>
      </w:tr>
      <w:tr>
        <w:tc>
          <w:tcPr>
            <w:tcW w:type="dxa" w:w="1872"/>
            <w:shd w:fill="EAF2F8"/>
            <w:vAlign w:val="center"/>
          </w:tcPr>
          <w:p>
            <w:pPr>
              <w:spacing w:after="0"/>
            </w:pPr>
            <w:r>
              <w:rPr>
                <w:sz w:val="16"/>
              </w:rPr>
              <w:t>Shared services</w:t>
            </w:r>
          </w:p>
        </w:tc>
        <w:tc>
          <w:tcPr>
            <w:tcW w:type="dxa" w:w="4464"/>
            <w:shd w:fill="EAF2F8"/>
            <w:vAlign w:val="center"/>
          </w:tcPr>
          <w:p>
            <w:pPr>
              <w:spacing w:after="0"/>
            </w:pPr>
            <w:r>
              <w:rPr>
                <w:sz w:val="16"/>
              </w:rPr>
              <w:t>S1, S2 and optional S3</w:t>
            </w:r>
          </w:p>
        </w:tc>
        <w:tc>
          <w:tcPr>
            <w:tcW w:type="dxa" w:w="3312"/>
            <w:shd w:fill="EAF2F8"/>
            <w:vAlign w:val="center"/>
          </w:tcPr>
          <w:p>
            <w:pPr>
              <w:spacing w:after="0"/>
            </w:pPr>
            <w:r>
              <w:rPr>
                <w:sz w:val="16"/>
              </w:rPr>
              <w:t>Reuse governance capabilities</w:t>
            </w:r>
          </w:p>
        </w:tc>
      </w:tr>
      <w:tr>
        <w:tc>
          <w:tcPr>
            <w:tcW w:type="dxa" w:w="1872"/>
            <w:vAlign w:val="center"/>
          </w:tcPr>
          <w:p>
            <w:pPr>
              <w:spacing w:after="0"/>
            </w:pPr>
            <w:r>
              <w:rPr>
                <w:sz w:val="16"/>
              </w:rPr>
              <w:t>Data and integration</w:t>
            </w:r>
          </w:p>
        </w:tc>
        <w:tc>
          <w:tcPr>
            <w:tcW w:type="dxa" w:w="4464"/>
            <w:vAlign w:val="center"/>
          </w:tcPr>
          <w:p>
            <w:pPr>
              <w:spacing w:after="0"/>
            </w:pPr>
            <w:r>
              <w:rPr>
                <w:sz w:val="16"/>
              </w:rPr>
              <w:t>APIs, event bus, data products, MDM, lineage and quality</w:t>
            </w:r>
          </w:p>
        </w:tc>
        <w:tc>
          <w:tcPr>
            <w:tcW w:type="dxa" w:w="3312"/>
            <w:vAlign w:val="center"/>
          </w:tcPr>
          <w:p>
            <w:pPr>
              <w:spacing w:after="0"/>
            </w:pPr>
            <w:r>
              <w:rPr>
                <w:sz w:val="16"/>
              </w:rPr>
              <w:t>Create trustworthy signals</w:t>
            </w:r>
          </w:p>
        </w:tc>
      </w:tr>
      <w:tr>
        <w:tc>
          <w:tcPr>
            <w:tcW w:type="dxa" w:w="1872"/>
            <w:shd w:fill="EAF2F8"/>
            <w:vAlign w:val="center"/>
          </w:tcPr>
          <w:p>
            <w:pPr>
              <w:spacing w:after="0"/>
            </w:pPr>
            <w:r>
              <w:rPr>
                <w:sz w:val="16"/>
              </w:rPr>
              <w:t>Platform security</w:t>
            </w:r>
          </w:p>
        </w:tc>
        <w:tc>
          <w:tcPr>
            <w:tcW w:type="dxa" w:w="4464"/>
            <w:shd w:fill="EAF2F8"/>
            <w:vAlign w:val="center"/>
          </w:tcPr>
          <w:p>
            <w:pPr>
              <w:spacing w:after="0"/>
            </w:pPr>
            <w:r>
              <w:rPr>
                <w:sz w:val="16"/>
              </w:rPr>
              <w:t>Saudi hosting, identity, keys, network, backup and monitoring</w:t>
            </w:r>
          </w:p>
        </w:tc>
        <w:tc>
          <w:tcPr>
            <w:tcW w:type="dxa" w:w="3312"/>
            <w:shd w:fill="EAF2F8"/>
            <w:vAlign w:val="center"/>
          </w:tcPr>
          <w:p>
            <w:pPr>
              <w:spacing w:after="0"/>
            </w:pPr>
            <w:r>
              <w:rPr>
                <w:sz w:val="16"/>
              </w:rPr>
              <w:t>Sovereign, resilient operation</w:t>
            </w:r>
          </w:p>
        </w:tc>
      </w:tr>
    </w:tbl>
    <w:p/>
    <w:p>
      <w:pPr>
        <w:pStyle w:val="Heading2"/>
      </w:pPr>
      <w:r>
        <w:t>Mandatory controls</w:t>
      </w:r>
    </w:p>
    <w:p>
      <w:pPr>
        <w:pStyle w:val="ListBullet"/>
      </w:pPr>
      <w:r>
        <w:t>Saudi-approved storage and processing boundary for sensitive data, traces, prompts, embeddings and backups.</w:t>
      </w:r>
    </w:p>
    <w:p>
      <w:pPr>
        <w:pStyle w:val="ListBullet"/>
      </w:pPr>
      <w:r>
        <w:t>Wareed federation, RBAC, least privilege and privileged-access approval.</w:t>
      </w:r>
    </w:p>
    <w:p>
      <w:pPr>
        <w:pStyle w:val="ListBullet"/>
      </w:pPr>
      <w:r>
        <w:t>Encryption in transit and at rest with dedicated or Wareed-controlled keys.</w:t>
      </w:r>
    </w:p>
    <w:p>
      <w:pPr>
        <w:pStyle w:val="ListBullet"/>
      </w:pPr>
      <w:r>
        <w:t>Model gateway, controlled egress and complete user-agent-tool audit.</w:t>
      </w:r>
    </w:p>
    <w:p>
      <w:pPr>
        <w:pStyle w:val="ListBullet"/>
      </w:pPr>
      <w:r>
        <w:t>Portable prompts, policies, tool schemas and evaluations.</w:t>
      </w:r>
    </w:p>
    <w:p>
      <w:pPr>
        <w:pStyle w:val="ListBullet"/>
      </w:pPr>
      <w:r>
        <w:t>Tested backup, recovery and exit plan.</w:t>
      </w:r>
    </w:p>
    <w:p>
      <w:r>
        <w:br w:type="page"/>
      </w:r>
    </w:p>
    <w:p>
      <w:pPr>
        <w:pStyle w:val="Heading1"/>
      </w:pPr>
      <w:r>
        <w:t>4 Integration Responsibility Matrix</w:t>
      </w:r>
    </w:p>
    <w:p>
      <w:r>
        <w:t>Discovery will confirm endpoints, volumes, classifications and non-production availability. Source systems remain authoritative and no write-back is enabled without an approved tool and rollback path.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c>
          <w:tcPr>
            <w:tcW w:type="dxa" w:w="1800"/>
            <w:shd w:fill="17365D"/>
            <w:vAlign w:val="center"/>
          </w:tcPr>
          <w:p>
            <w:r>
              <w:rPr>
                <w:b/>
                <w:color w:val="FFFFFF"/>
                <w:sz w:val="17"/>
              </w:rPr>
              <w:t>Domain</w:t>
            </w:r>
          </w:p>
        </w:tc>
        <w:tc>
          <w:tcPr>
            <w:tcW w:type="dxa" w:w="2520"/>
            <w:shd w:fill="17365D"/>
            <w:vAlign w:val="center"/>
          </w:tcPr>
          <w:p>
            <w:r>
              <w:rPr>
                <w:b/>
                <w:color w:val="FFFFFF"/>
                <w:sz w:val="17"/>
              </w:rPr>
              <w:t>Wareed</w:t>
            </w:r>
          </w:p>
        </w:tc>
        <w:tc>
          <w:tcPr>
            <w:tcW w:type="dxa" w:w="3096"/>
            <w:shd w:fill="17365D"/>
            <w:vAlign w:val="center"/>
          </w:tcPr>
          <w:p>
            <w:r>
              <w:rPr>
                <w:b/>
                <w:color w:val="FFFFFF"/>
                <w:sz w:val="17"/>
              </w:rPr>
              <w:t>NeoLimits</w:t>
            </w:r>
          </w:p>
        </w:tc>
        <w:tc>
          <w:tcPr>
            <w:tcW w:type="dxa" w:w="2232"/>
            <w:shd w:fill="17365D"/>
            <w:vAlign w:val="center"/>
          </w:tcPr>
          <w:p>
            <w:r>
              <w:rPr>
                <w:b/>
                <w:color w:val="FFFFFF"/>
                <w:sz w:val="17"/>
              </w:rPr>
              <w:t>Acceptance</w:t>
            </w:r>
          </w:p>
        </w:tc>
      </w:tr>
      <w:tr>
        <w:tc>
          <w:tcPr>
            <w:tcW w:type="dxa" w:w="1800"/>
            <w:vAlign w:val="center"/>
          </w:tcPr>
          <w:p>
            <w:pPr>
              <w:spacing w:after="0"/>
            </w:pPr>
            <w:r>
              <w:rPr>
                <w:sz w:val="16"/>
              </w:rPr>
              <w:t>LIS/LDM</w:t>
            </w:r>
          </w:p>
        </w:tc>
        <w:tc>
          <w:tcPr>
            <w:tcW w:type="dxa" w:w="2520"/>
            <w:vAlign w:val="center"/>
          </w:tcPr>
          <w:p>
            <w:pPr>
              <w:spacing w:after="0"/>
            </w:pPr>
            <w:r>
              <w:rPr>
                <w:sz w:val="16"/>
              </w:rPr>
              <w:t>Access, SMEs and definitions</w:t>
            </w:r>
          </w:p>
        </w:tc>
        <w:tc>
          <w:tcPr>
            <w:tcW w:type="dxa" w:w="3096"/>
            <w:vAlign w:val="center"/>
          </w:tcPr>
          <w:p>
            <w:pPr>
              <w:spacing w:after="0"/>
            </w:pPr>
            <w:r>
              <w:rPr>
                <w:sz w:val="16"/>
              </w:rPr>
              <w:t>Connector, mapping, quality and monitoring</w:t>
            </w:r>
          </w:p>
        </w:tc>
        <w:tc>
          <w:tcPr>
            <w:tcW w:type="dxa" w:w="2232"/>
            <w:vAlign w:val="center"/>
          </w:tcPr>
          <w:p>
            <w:pPr>
              <w:spacing w:after="0"/>
            </w:pPr>
            <w:r>
              <w:rPr>
                <w:sz w:val="16"/>
              </w:rPr>
              <w:t>TAT and sample reconciliation</w:t>
            </w:r>
          </w:p>
        </w:tc>
      </w:tr>
      <w:tr>
        <w:tc>
          <w:tcPr>
            <w:tcW w:type="dxa" w:w="1800"/>
            <w:shd w:fill="EAF2F8"/>
            <w:vAlign w:val="center"/>
          </w:tcPr>
          <w:p>
            <w:pPr>
              <w:spacing w:after="0"/>
            </w:pPr>
            <w:r>
              <w:rPr>
                <w:sz w:val="16"/>
              </w:rPr>
              <w:t>ERP/CRM/CX</w:t>
            </w:r>
          </w:p>
        </w:tc>
        <w:tc>
          <w:tcPr>
            <w:tcW w:type="dxa" w:w="2520"/>
            <w:shd w:fill="EAF2F8"/>
            <w:vAlign w:val="center"/>
          </w:tcPr>
          <w:p>
            <w:pPr>
              <w:spacing w:after="0"/>
            </w:pPr>
            <w:r>
              <w:rPr>
                <w:sz w:val="16"/>
              </w:rPr>
              <w:t>Approved fields, access and owners</w:t>
            </w:r>
          </w:p>
        </w:tc>
        <w:tc>
          <w:tcPr>
            <w:tcW w:type="dxa" w:w="3096"/>
            <w:shd w:fill="EAF2F8"/>
            <w:vAlign w:val="center"/>
          </w:tcPr>
          <w:p>
            <w:pPr>
              <w:spacing w:after="0"/>
            </w:pPr>
            <w:r>
              <w:rPr>
                <w:sz w:val="16"/>
              </w:rPr>
              <w:t>Secure ingestion and workflow links</w:t>
            </w:r>
          </w:p>
        </w:tc>
        <w:tc>
          <w:tcPr>
            <w:tcW w:type="dxa" w:w="2232"/>
            <w:shd w:fill="EAF2F8"/>
            <w:vAlign w:val="center"/>
          </w:tcPr>
          <w:p>
            <w:pPr>
              <w:spacing w:after="0"/>
            </w:pPr>
            <w:r>
              <w:rPr>
                <w:sz w:val="16"/>
              </w:rPr>
              <w:t>KPI and case reconciliation</w:t>
            </w:r>
          </w:p>
        </w:tc>
      </w:tr>
      <w:tr>
        <w:tc>
          <w:tcPr>
            <w:tcW w:type="dxa" w:w="1800"/>
            <w:vAlign w:val="center"/>
          </w:tcPr>
          <w:p>
            <w:pPr>
              <w:spacing w:after="0"/>
            </w:pPr>
            <w:r>
              <w:rPr>
                <w:sz w:val="16"/>
              </w:rPr>
              <w:t>HR/attendance</w:t>
            </w:r>
          </w:p>
        </w:tc>
        <w:tc>
          <w:tcPr>
            <w:tcW w:type="dxa" w:w="2520"/>
            <w:vAlign w:val="center"/>
          </w:tcPr>
          <w:p>
            <w:pPr>
              <w:spacing w:after="0"/>
            </w:pPr>
            <w:r>
              <w:rPr>
                <w:sz w:val="16"/>
              </w:rPr>
              <w:t>Purpose, minimization and access</w:t>
            </w:r>
          </w:p>
        </w:tc>
        <w:tc>
          <w:tcPr>
            <w:tcW w:type="dxa" w:w="3096"/>
            <w:vAlign w:val="center"/>
          </w:tcPr>
          <w:p>
            <w:pPr>
              <w:spacing w:after="0"/>
            </w:pPr>
            <w:r>
              <w:rPr>
                <w:sz w:val="16"/>
              </w:rPr>
              <w:t>Protected integration and risk logic</w:t>
            </w:r>
          </w:p>
        </w:tc>
        <w:tc>
          <w:tcPr>
            <w:tcW w:type="dxa" w:w="2232"/>
            <w:vAlign w:val="center"/>
          </w:tcPr>
          <w:p>
            <w:pPr>
              <w:spacing w:after="0"/>
            </w:pPr>
            <w:r>
              <w:rPr>
                <w:sz w:val="16"/>
              </w:rPr>
              <w:t>Privacy and accuracy tests</w:t>
            </w:r>
          </w:p>
        </w:tc>
      </w:tr>
      <w:tr>
        <w:tc>
          <w:tcPr>
            <w:tcW w:type="dxa" w:w="1800"/>
            <w:shd w:fill="EAF2F8"/>
            <w:vAlign w:val="center"/>
          </w:tcPr>
          <w:p>
            <w:pPr>
              <w:spacing w:after="0"/>
            </w:pPr>
            <w:r>
              <w:rPr>
                <w:sz w:val="16"/>
              </w:rPr>
              <w:t>GPS/fleet</w:t>
            </w:r>
          </w:p>
        </w:tc>
        <w:tc>
          <w:tcPr>
            <w:tcW w:type="dxa" w:w="2520"/>
            <w:shd w:fill="EAF2F8"/>
            <w:vAlign w:val="center"/>
          </w:tcPr>
          <w:p>
            <w:pPr>
              <w:spacing w:after="0"/>
            </w:pPr>
            <w:r>
              <w:rPr>
                <w:sz w:val="16"/>
              </w:rPr>
              <w:t>Provider access and route definitions</w:t>
            </w:r>
          </w:p>
        </w:tc>
        <w:tc>
          <w:tcPr>
            <w:tcW w:type="dxa" w:w="3096"/>
            <w:shd w:fill="EAF2F8"/>
            <w:vAlign w:val="center"/>
          </w:tcPr>
          <w:p>
            <w:pPr>
              <w:spacing w:after="0"/>
            </w:pPr>
            <w:r>
              <w:rPr>
                <w:sz w:val="16"/>
              </w:rPr>
              <w:t>Event ingestion and exceptions</w:t>
            </w:r>
          </w:p>
        </w:tc>
        <w:tc>
          <w:tcPr>
            <w:tcW w:type="dxa" w:w="2232"/>
            <w:shd w:fill="EAF2F8"/>
            <w:vAlign w:val="center"/>
          </w:tcPr>
          <w:p>
            <w:pPr>
              <w:spacing w:after="0"/>
            </w:pPr>
            <w:r>
              <w:rPr>
                <w:sz w:val="16"/>
              </w:rPr>
              <w:t>Delay scenarios</w:t>
            </w:r>
          </w:p>
        </w:tc>
      </w:tr>
      <w:tr>
        <w:tc>
          <w:tcPr>
            <w:tcW w:type="dxa" w:w="1800"/>
            <w:vAlign w:val="center"/>
          </w:tcPr>
          <w:p>
            <w:pPr>
              <w:spacing w:after="0"/>
            </w:pPr>
            <w:r>
              <w:rPr>
                <w:sz w:val="16"/>
              </w:rPr>
              <w:t>VMS/vision</w:t>
            </w:r>
          </w:p>
        </w:tc>
        <w:tc>
          <w:tcPr>
            <w:tcW w:type="dxa" w:w="2520"/>
            <w:vAlign w:val="center"/>
          </w:tcPr>
          <w:p>
            <w:pPr>
              <w:spacing w:after="0"/>
            </w:pPr>
            <w:r>
              <w:rPr>
                <w:sz w:val="16"/>
              </w:rPr>
              <w:t>Approved cameras and privacy basis</w:t>
            </w:r>
          </w:p>
        </w:tc>
        <w:tc>
          <w:tcPr>
            <w:tcW w:type="dxa" w:w="3096"/>
            <w:vAlign w:val="center"/>
          </w:tcPr>
          <w:p>
            <w:pPr>
              <w:spacing w:after="0"/>
            </w:pPr>
            <w:r>
              <w:rPr>
                <w:sz w:val="16"/>
              </w:rPr>
              <w:t>Optional metadata events only</w:t>
            </w:r>
          </w:p>
        </w:tc>
        <w:tc>
          <w:tcPr>
            <w:tcW w:type="dxa" w:w="2232"/>
            <w:vAlign w:val="center"/>
          </w:tcPr>
          <w:p>
            <w:pPr>
              <w:spacing w:after="0"/>
            </w:pPr>
            <w:r>
              <w:rPr>
                <w:sz w:val="16"/>
              </w:rPr>
              <w:t>Precision and false-positive limits</w:t>
            </w:r>
          </w:p>
        </w:tc>
      </w:tr>
      <w:tr>
        <w:tc>
          <w:tcPr>
            <w:tcW w:type="dxa" w:w="1800"/>
            <w:shd w:fill="EAF2F8"/>
            <w:vAlign w:val="center"/>
          </w:tcPr>
          <w:p>
            <w:pPr>
              <w:spacing w:after="0"/>
            </w:pPr>
            <w:r>
              <w:rPr>
                <w:sz w:val="16"/>
              </w:rPr>
              <w:t>Work management</w:t>
            </w:r>
          </w:p>
        </w:tc>
        <w:tc>
          <w:tcPr>
            <w:tcW w:type="dxa" w:w="2520"/>
            <w:shd w:fill="EAF2F8"/>
            <w:vAlign w:val="center"/>
          </w:tcPr>
          <w:p>
            <w:pPr>
              <w:spacing w:after="0"/>
            </w:pPr>
            <w:r>
              <w:rPr>
                <w:sz w:val="16"/>
              </w:rPr>
              <w:t>Owners, SLAs and templates</w:t>
            </w:r>
          </w:p>
        </w:tc>
        <w:tc>
          <w:tcPr>
            <w:tcW w:type="dxa" w:w="3096"/>
            <w:shd w:fill="EAF2F8"/>
            <w:vAlign w:val="center"/>
          </w:tcPr>
          <w:p>
            <w:pPr>
              <w:spacing w:after="0"/>
            </w:pPr>
            <w:r>
              <w:rPr>
                <w:sz w:val="16"/>
              </w:rPr>
              <w:t>Ticket API, escalation and closure</w:t>
            </w:r>
          </w:p>
        </w:tc>
        <w:tc>
          <w:tcPr>
            <w:tcW w:type="dxa" w:w="2232"/>
            <w:shd w:fill="EAF2F8"/>
            <w:vAlign w:val="center"/>
          </w:tcPr>
          <w:p>
            <w:pPr>
              <w:spacing w:after="0"/>
            </w:pPr>
            <w:r>
              <w:rPr>
                <w:sz w:val="16"/>
              </w:rPr>
              <w:t>End-to-end workflow</w:t>
            </w:r>
          </w:p>
        </w:tc>
      </w:tr>
      <w:tr>
        <w:tc>
          <w:tcPr>
            <w:tcW w:type="dxa" w:w="1800"/>
            <w:vAlign w:val="center"/>
          </w:tcPr>
          <w:p>
            <w:pPr>
              <w:spacing w:after="0"/>
            </w:pPr>
            <w:r>
              <w:rPr>
                <w:sz w:val="16"/>
              </w:rPr>
              <w:t>Identity/security</w:t>
            </w:r>
          </w:p>
        </w:tc>
        <w:tc>
          <w:tcPr>
            <w:tcW w:type="dxa" w:w="2520"/>
            <w:vAlign w:val="center"/>
          </w:tcPr>
          <w:p>
            <w:pPr>
              <w:spacing w:after="0"/>
            </w:pPr>
            <w:r>
              <w:rPr>
                <w:sz w:val="16"/>
              </w:rPr>
              <w:t>Directory, roles and SOC process</w:t>
            </w:r>
          </w:p>
        </w:tc>
        <w:tc>
          <w:tcPr>
            <w:tcW w:type="dxa" w:w="3096"/>
            <w:vAlign w:val="center"/>
          </w:tcPr>
          <w:p>
            <w:pPr>
              <w:spacing w:after="0"/>
            </w:pPr>
            <w:r>
              <w:rPr>
                <w:sz w:val="16"/>
              </w:rPr>
              <w:t>Federation, RBAC and log integration</w:t>
            </w:r>
          </w:p>
        </w:tc>
        <w:tc>
          <w:tcPr>
            <w:tcW w:type="dxa" w:w="2232"/>
            <w:vAlign w:val="center"/>
          </w:tcPr>
          <w:p>
            <w:pPr>
              <w:spacing w:after="0"/>
            </w:pPr>
            <w:r>
              <w:rPr>
                <w:sz w:val="16"/>
              </w:rPr>
              <w:t>Access and incident tests</w:t>
            </w:r>
          </w:p>
        </w:tc>
      </w:tr>
    </w:tbl>
    <w:p/>
    <w:p>
      <w:r>
        <w:br w:type="page"/>
      </w:r>
    </w:p>
    <w:p>
      <w:pPr>
        <w:pStyle w:val="Heading1"/>
      </w:pPr>
      <w:r>
        <w:t>5 Data Governance and Quality</w:t>
      </w:r>
    </w:p>
    <w:p>
      <w:r>
        <w:t>Each governed data product has an owner, steward, purpose, classification, lineage, retention and service expectation. Agents receive a quality envelope with every input.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2160"/>
            <w:shd w:fill="17365D"/>
            <w:vAlign w:val="center"/>
          </w:tcPr>
          <w:p>
            <w:r>
              <w:rPr>
                <w:b/>
                <w:color w:val="FFFFFF"/>
                <w:sz w:val="17"/>
              </w:rPr>
              <w:t>Capability</w:t>
            </w:r>
          </w:p>
        </w:tc>
        <w:tc>
          <w:tcPr>
            <w:tcW w:type="dxa" w:w="4752"/>
            <w:shd w:fill="17365D"/>
            <w:vAlign w:val="center"/>
          </w:tcPr>
          <w:p>
            <w:r>
              <w:rPr>
                <w:b/>
                <w:color w:val="FFFFFF"/>
                <w:sz w:val="17"/>
              </w:rPr>
              <w:t>Practice</w:t>
            </w:r>
          </w:p>
        </w:tc>
        <w:tc>
          <w:tcPr>
            <w:tcW w:type="dxa" w:w="2880"/>
            <w:shd w:fill="17365D"/>
            <w:vAlign w:val="center"/>
          </w:tcPr>
          <w:p>
            <w:r>
              <w:rPr>
                <w:b/>
                <w:color w:val="FFFFFF"/>
                <w:sz w:val="17"/>
              </w:rPr>
              <w:t>Measure</w:t>
            </w:r>
          </w:p>
        </w:tc>
      </w:tr>
      <w:tr>
        <w:tc>
          <w:tcPr>
            <w:tcW w:type="dxa" w:w="2160"/>
            <w:vAlign w:val="center"/>
          </w:tcPr>
          <w:p>
            <w:pPr>
              <w:spacing w:after="0"/>
            </w:pPr>
            <w:r>
              <w:rPr>
                <w:sz w:val="16"/>
              </w:rPr>
              <w:t>Catalog and lineage</w:t>
            </w:r>
          </w:p>
        </w:tc>
        <w:tc>
          <w:tcPr>
            <w:tcW w:type="dxa" w:w="4752"/>
            <w:vAlign w:val="center"/>
          </w:tcPr>
          <w:p>
            <w:pPr>
              <w:spacing w:after="0"/>
            </w:pPr>
            <w:r>
              <w:rPr>
                <w:sz w:val="16"/>
              </w:rPr>
              <w:t>Register sources, transformations, consumers and retention</w:t>
            </w:r>
          </w:p>
        </w:tc>
        <w:tc>
          <w:tcPr>
            <w:tcW w:type="dxa" w:w="2880"/>
            <w:vAlign w:val="center"/>
          </w:tcPr>
          <w:p>
            <w:pPr>
              <w:spacing w:after="0"/>
            </w:pPr>
            <w:r>
              <w:rPr>
                <w:sz w:val="16"/>
              </w:rPr>
              <w:t>Coverage of production products</w:t>
            </w:r>
          </w:p>
        </w:tc>
      </w:tr>
      <w:tr>
        <w:tc>
          <w:tcPr>
            <w:tcW w:type="dxa" w:w="2160"/>
            <w:shd w:fill="EAF2F8"/>
            <w:vAlign w:val="center"/>
          </w:tcPr>
          <w:p>
            <w:pPr>
              <w:spacing w:after="0"/>
            </w:pPr>
            <w:r>
              <w:rPr>
                <w:sz w:val="16"/>
              </w:rPr>
              <w:t>Master data</w:t>
            </w:r>
          </w:p>
        </w:tc>
        <w:tc>
          <w:tcPr>
            <w:tcW w:type="dxa" w:w="4752"/>
            <w:shd w:fill="EAF2F8"/>
            <w:vAlign w:val="center"/>
          </w:tcPr>
          <w:p>
            <w:pPr>
              <w:spacing w:after="0"/>
            </w:pPr>
            <w:r>
              <w:rPr>
                <w:sz w:val="16"/>
              </w:rPr>
              <w:t>Controlled branch, service, test, campaign and role identifiers</w:t>
            </w:r>
          </w:p>
        </w:tc>
        <w:tc>
          <w:tcPr>
            <w:tcW w:type="dxa" w:w="2880"/>
            <w:shd w:fill="EAF2F8"/>
            <w:vAlign w:val="center"/>
          </w:tcPr>
          <w:p>
            <w:pPr>
              <w:spacing w:after="0"/>
            </w:pPr>
            <w:r>
              <w:rPr>
                <w:sz w:val="16"/>
              </w:rPr>
              <w:t>Match and duplicate rates</w:t>
            </w:r>
          </w:p>
        </w:tc>
      </w:tr>
      <w:tr>
        <w:tc>
          <w:tcPr>
            <w:tcW w:type="dxa" w:w="2160"/>
            <w:vAlign w:val="center"/>
          </w:tcPr>
          <w:p>
            <w:pPr>
              <w:spacing w:after="0"/>
            </w:pPr>
            <w:r>
              <w:rPr>
                <w:sz w:val="16"/>
              </w:rPr>
              <w:t>Quality</w:t>
            </w:r>
          </w:p>
        </w:tc>
        <w:tc>
          <w:tcPr>
            <w:tcW w:type="dxa" w:w="4752"/>
            <w:vAlign w:val="center"/>
          </w:tcPr>
          <w:p>
            <w:pPr>
              <w:spacing w:after="0"/>
            </w:pPr>
            <w:r>
              <w:rPr>
                <w:sz w:val="16"/>
              </w:rPr>
              <w:t>Validity, completeness, consistency, timeliness and reconciliation</w:t>
            </w:r>
          </w:p>
        </w:tc>
        <w:tc>
          <w:tcPr>
            <w:tcW w:type="dxa" w:w="2880"/>
            <w:vAlign w:val="center"/>
          </w:tcPr>
          <w:p>
            <w:pPr>
              <w:spacing w:after="0"/>
            </w:pPr>
            <w:r>
              <w:rPr>
                <w:sz w:val="16"/>
              </w:rPr>
              <w:t>Pass rate by critical field</w:t>
            </w:r>
          </w:p>
        </w:tc>
      </w:tr>
      <w:tr>
        <w:tc>
          <w:tcPr>
            <w:tcW w:type="dxa" w:w="2160"/>
            <w:shd w:fill="EAF2F8"/>
            <w:vAlign w:val="center"/>
          </w:tcPr>
          <w:p>
            <w:pPr>
              <w:spacing w:after="0"/>
            </w:pPr>
            <w:r>
              <w:rPr>
                <w:sz w:val="16"/>
              </w:rPr>
              <w:t>Freshness</w:t>
            </w:r>
          </w:p>
        </w:tc>
        <w:tc>
          <w:tcPr>
            <w:tcW w:type="dxa" w:w="4752"/>
            <w:shd w:fill="EAF2F8"/>
            <w:vAlign w:val="center"/>
          </w:tcPr>
          <w:p>
            <w:pPr>
              <w:spacing w:after="0"/>
            </w:pPr>
            <w:r>
              <w:rPr>
                <w:sz w:val="16"/>
              </w:rPr>
              <w:t>Source-specific thresholds and degraded states</w:t>
            </w:r>
          </w:p>
        </w:tc>
        <w:tc>
          <w:tcPr>
            <w:tcW w:type="dxa" w:w="2880"/>
            <w:shd w:fill="EAF2F8"/>
            <w:vAlign w:val="center"/>
          </w:tcPr>
          <w:p>
            <w:pPr>
              <w:spacing w:after="0"/>
            </w:pPr>
            <w:r>
              <w:rPr>
                <w:sz w:val="16"/>
              </w:rPr>
              <w:t>Freshness SLA</w:t>
            </w:r>
          </w:p>
        </w:tc>
      </w:tr>
      <w:tr>
        <w:tc>
          <w:tcPr>
            <w:tcW w:type="dxa" w:w="2160"/>
            <w:vAlign w:val="center"/>
          </w:tcPr>
          <w:p>
            <w:pPr>
              <w:spacing w:after="0"/>
            </w:pPr>
            <w:r>
              <w:rPr>
                <w:sz w:val="16"/>
              </w:rPr>
              <w:t>Privacy</w:t>
            </w:r>
          </w:p>
        </w:tc>
        <w:tc>
          <w:tcPr>
            <w:tcW w:type="dxa" w:w="4752"/>
            <w:vAlign w:val="center"/>
          </w:tcPr>
          <w:p>
            <w:pPr>
              <w:spacing w:after="0"/>
            </w:pPr>
            <w:r>
              <w:rPr>
                <w:sz w:val="16"/>
              </w:rPr>
              <w:t>Minimization, masking and purpose-based access</w:t>
            </w:r>
          </w:p>
        </w:tc>
        <w:tc>
          <w:tcPr>
            <w:tcW w:type="dxa" w:w="2880"/>
            <w:vAlign w:val="center"/>
          </w:tcPr>
          <w:p>
            <w:pPr>
              <w:spacing w:after="0"/>
            </w:pPr>
            <w:r>
              <w:rPr>
                <w:sz w:val="16"/>
              </w:rPr>
              <w:t>Access exceptions</w:t>
            </w:r>
          </w:p>
        </w:tc>
      </w:tr>
      <w:tr>
        <w:tc>
          <w:tcPr>
            <w:tcW w:type="dxa" w:w="2160"/>
            <w:shd w:fill="EAF2F8"/>
            <w:vAlign w:val="center"/>
          </w:tcPr>
          <w:p>
            <w:pPr>
              <w:spacing w:after="0"/>
            </w:pPr>
            <w:r>
              <w:rPr>
                <w:sz w:val="16"/>
              </w:rPr>
              <w:t>Retention</w:t>
            </w:r>
          </w:p>
        </w:tc>
        <w:tc>
          <w:tcPr>
            <w:tcW w:type="dxa" w:w="4752"/>
            <w:shd w:fill="EAF2F8"/>
            <w:vAlign w:val="center"/>
          </w:tcPr>
          <w:p>
            <w:pPr>
              <w:spacing w:after="0"/>
            </w:pPr>
            <w:r>
              <w:rPr>
                <w:sz w:val="16"/>
              </w:rPr>
              <w:t>Policy for raw data, traces, embeddings, logs and evidence</w:t>
            </w:r>
          </w:p>
        </w:tc>
        <w:tc>
          <w:tcPr>
            <w:tcW w:type="dxa" w:w="2880"/>
            <w:shd w:fill="EAF2F8"/>
            <w:vAlign w:val="center"/>
          </w:tcPr>
          <w:p>
            <w:pPr>
              <w:spacing w:after="0"/>
            </w:pPr>
            <w:r>
              <w:rPr>
                <w:sz w:val="16"/>
              </w:rPr>
              <w:t>Deletion and legal-hold tests</w:t>
            </w:r>
          </w:p>
        </w:tc>
      </w:tr>
    </w:tbl>
    <w:p/>
    <w:p>
      <w:r>
        <w:br w:type="page"/>
      </w:r>
    </w:p>
    <w:p>
      <w:pPr>
        <w:pStyle w:val="Heading1"/>
      </w:pPr>
      <w:r>
        <w:t>6 Control Plane Policy and Approval</w:t>
      </w:r>
    </w:p>
    <w:p>
      <w:r>
        <w:t>Policy is evaluated before tool execution and again before commit. Controls include identity, purpose, schema validation, thresholds, duplicate prevention, approvals, rate limits, trace capture, rollback, override and emergency stop.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1728"/>
            <w:shd w:fill="17365D"/>
            <w:vAlign w:val="center"/>
          </w:tcPr>
          <w:p>
            <w:r>
              <w:rPr>
                <w:b/>
                <w:color w:val="FFFFFF"/>
                <w:sz w:val="17"/>
              </w:rPr>
              <w:t>Level</w:t>
            </w:r>
          </w:p>
        </w:tc>
        <w:tc>
          <w:tcPr>
            <w:tcW w:type="dxa" w:w="4608"/>
            <w:shd w:fill="17365D"/>
            <w:vAlign w:val="center"/>
          </w:tcPr>
          <w:p>
            <w:r>
              <w:rPr>
                <w:b/>
                <w:color w:val="FFFFFF"/>
                <w:sz w:val="17"/>
              </w:rPr>
              <w:t>Capability</w:t>
            </w:r>
          </w:p>
        </w:tc>
        <w:tc>
          <w:tcPr>
            <w:tcW w:type="dxa" w:w="3456"/>
            <w:shd w:fill="17365D"/>
            <w:vAlign w:val="center"/>
          </w:tcPr>
          <w:p>
            <w:r>
              <w:rPr>
                <w:b/>
                <w:color w:val="FFFFFF"/>
                <w:sz w:val="17"/>
              </w:rPr>
              <w:t>Release condition</w:t>
            </w:r>
          </w:p>
        </w:tc>
      </w:tr>
      <w:tr>
        <w:tc>
          <w:tcPr>
            <w:tcW w:type="dxa" w:w="1728"/>
            <w:vAlign w:val="center"/>
          </w:tcPr>
          <w:p>
            <w:pPr>
              <w:spacing w:after="0"/>
            </w:pPr>
            <w:r>
              <w:rPr>
                <w:sz w:val="16"/>
              </w:rPr>
              <w:t>1 Observe</w:t>
            </w:r>
          </w:p>
        </w:tc>
        <w:tc>
          <w:tcPr>
            <w:tcW w:type="dxa" w:w="4608"/>
            <w:vAlign w:val="center"/>
          </w:tcPr>
          <w:p>
            <w:pPr>
              <w:spacing w:after="0"/>
            </w:pPr>
            <w:r>
              <w:rPr>
                <w:sz w:val="16"/>
              </w:rPr>
              <w:t>Read, summarize and detect</w:t>
            </w:r>
          </w:p>
        </w:tc>
        <w:tc>
          <w:tcPr>
            <w:tcW w:type="dxa" w:w="3456"/>
            <w:vAlign w:val="center"/>
          </w:tcPr>
          <w:p>
            <w:pPr>
              <w:spacing w:after="0"/>
            </w:pPr>
            <w:r>
              <w:rPr>
                <w:sz w:val="16"/>
              </w:rPr>
              <w:t>Approved source and read-only role</w:t>
            </w:r>
          </w:p>
        </w:tc>
      </w:tr>
      <w:tr>
        <w:tc>
          <w:tcPr>
            <w:tcW w:type="dxa" w:w="1728"/>
            <w:shd w:fill="EAF2F8"/>
            <w:vAlign w:val="center"/>
          </w:tcPr>
          <w:p>
            <w:pPr>
              <w:spacing w:after="0"/>
            </w:pPr>
            <w:r>
              <w:rPr>
                <w:sz w:val="16"/>
              </w:rPr>
              <w:t>2 Recommend</w:t>
            </w:r>
          </w:p>
        </w:tc>
        <w:tc>
          <w:tcPr>
            <w:tcW w:type="dxa" w:w="4608"/>
            <w:shd w:fill="EAF2F8"/>
            <w:vAlign w:val="center"/>
          </w:tcPr>
          <w:p>
            <w:pPr>
              <w:spacing w:after="0"/>
            </w:pPr>
            <w:r>
              <w:rPr>
                <w:sz w:val="16"/>
              </w:rPr>
              <w:t>Evidence-linked hypotheses and options</w:t>
            </w:r>
          </w:p>
        </w:tc>
        <w:tc>
          <w:tcPr>
            <w:tcW w:type="dxa" w:w="3456"/>
            <w:shd w:fill="EAF2F8"/>
            <w:vAlign w:val="center"/>
          </w:tcPr>
          <w:p>
            <w:pPr>
              <w:spacing w:after="0"/>
            </w:pPr>
            <w:r>
              <w:rPr>
                <w:sz w:val="16"/>
              </w:rPr>
              <w:t>Accepted evaluation and human decision owner</w:t>
            </w:r>
          </w:p>
        </w:tc>
      </w:tr>
      <w:tr>
        <w:tc>
          <w:tcPr>
            <w:tcW w:type="dxa" w:w="1728"/>
            <w:vAlign w:val="center"/>
          </w:tcPr>
          <w:p>
            <w:pPr>
              <w:spacing w:after="0"/>
            </w:pPr>
            <w:r>
              <w:rPr>
                <w:sz w:val="16"/>
              </w:rPr>
              <w:t>3 Assign</w:t>
            </w:r>
          </w:p>
        </w:tc>
        <w:tc>
          <w:tcPr>
            <w:tcW w:type="dxa" w:w="4608"/>
            <w:vAlign w:val="center"/>
          </w:tcPr>
          <w:p>
            <w:pPr>
              <w:spacing w:after="0"/>
            </w:pPr>
            <w:r>
              <w:rPr>
                <w:sz w:val="16"/>
              </w:rPr>
              <w:t>Create and route approved task</w:t>
            </w:r>
          </w:p>
        </w:tc>
        <w:tc>
          <w:tcPr>
            <w:tcW w:type="dxa" w:w="3456"/>
            <w:vAlign w:val="center"/>
          </w:tcPr>
          <w:p>
            <w:pPr>
              <w:spacing w:after="0"/>
            </w:pPr>
            <w:r>
              <w:rPr>
                <w:sz w:val="16"/>
              </w:rPr>
              <w:t>Workflow, owner map and idempotent tool</w:t>
            </w:r>
          </w:p>
        </w:tc>
      </w:tr>
      <w:tr>
        <w:tc>
          <w:tcPr>
            <w:tcW w:type="dxa" w:w="1728"/>
            <w:shd w:fill="EAF2F8"/>
            <w:vAlign w:val="center"/>
          </w:tcPr>
          <w:p>
            <w:pPr>
              <w:spacing w:after="0"/>
            </w:pPr>
            <w:r>
              <w:rPr>
                <w:sz w:val="16"/>
              </w:rPr>
              <w:t>4 Escalate</w:t>
            </w:r>
          </w:p>
        </w:tc>
        <w:tc>
          <w:tcPr>
            <w:tcW w:type="dxa" w:w="4608"/>
            <w:shd w:fill="EAF2F8"/>
            <w:vAlign w:val="center"/>
          </w:tcPr>
          <w:p>
            <w:pPr>
              <w:spacing w:after="0"/>
            </w:pPr>
            <w:r>
              <w:rPr>
                <w:sz w:val="16"/>
              </w:rPr>
              <w:t>Advance overdue, repeated or severe cases</w:t>
            </w:r>
          </w:p>
        </w:tc>
        <w:tc>
          <w:tcPr>
            <w:tcW w:type="dxa" w:w="3456"/>
            <w:shd w:fill="EAF2F8"/>
            <w:vAlign w:val="center"/>
          </w:tcPr>
          <w:p>
            <w:pPr>
              <w:spacing w:after="0"/>
            </w:pPr>
            <w:r>
              <w:rPr>
                <w:sz w:val="16"/>
              </w:rPr>
              <w:t>Approved severity and escalation policy</w:t>
            </w:r>
          </w:p>
        </w:tc>
      </w:tr>
      <w:tr>
        <w:tc>
          <w:tcPr>
            <w:tcW w:type="dxa" w:w="1728"/>
            <w:vAlign w:val="center"/>
          </w:tcPr>
          <w:p>
            <w:pPr>
              <w:spacing w:after="0"/>
            </w:pPr>
            <w:r>
              <w:rPr>
                <w:sz w:val="16"/>
              </w:rPr>
              <w:t>5 Act with approval</w:t>
            </w:r>
          </w:p>
        </w:tc>
        <w:tc>
          <w:tcPr>
            <w:tcW w:type="dxa" w:w="4608"/>
            <w:vAlign w:val="center"/>
          </w:tcPr>
          <w:p>
            <w:pPr>
              <w:spacing w:after="0"/>
            </w:pPr>
            <w:r>
              <w:rPr>
                <w:sz w:val="16"/>
              </w:rPr>
              <w:t>Execute reversible low-risk action</w:t>
            </w:r>
          </w:p>
        </w:tc>
        <w:tc>
          <w:tcPr>
            <w:tcW w:type="dxa" w:w="3456"/>
            <w:vAlign w:val="center"/>
          </w:tcPr>
          <w:p>
            <w:pPr>
              <w:spacing w:after="0"/>
            </w:pPr>
            <w:r>
              <w:rPr>
                <w:sz w:val="16"/>
              </w:rPr>
              <w:t>Action approval, rollback and audit test</w:t>
            </w:r>
          </w:p>
        </w:tc>
      </w:tr>
    </w:tbl>
    <w:p/>
    <w:p>
      <w:pPr>
        <w:pStyle w:val="Heading2"/>
      </w:pPr>
      <w:r>
        <w:t>Non-delegable boundaries</w:t>
      </w:r>
    </w:p>
    <w:p>
      <w:pPr>
        <w:pStyle w:val="ListBullet"/>
      </w:pPr>
      <w:r>
        <w:t>Clinical diagnosis or result release.</w:t>
      </w:r>
    </w:p>
    <w:p>
      <w:pPr>
        <w:pStyle w:val="ListBullet"/>
      </w:pPr>
      <w:r>
        <w:t>Unapproved pricing, discount, campaign or major budget action.</w:t>
      </w:r>
    </w:p>
    <w:p>
      <w:pPr>
        <w:pStyle w:val="ListBullet"/>
      </w:pPr>
      <w:r>
        <w:t>Sensitive customer communication outside approved templates.</w:t>
      </w:r>
    </w:p>
    <w:p>
      <w:pPr>
        <w:pStyle w:val="ListBullet"/>
      </w:pPr>
      <w:r>
        <w:t>Employment decisions based solely on AI.</w:t>
      </w:r>
    </w:p>
    <w:p>
      <w:pPr>
        <w:pStyle w:val="ListBullet"/>
      </w:pPr>
      <w:r>
        <w:t>Privileged production or security change without IT approval.</w:t>
      </w:r>
    </w:p>
    <w:p>
      <w:r>
        <w:br w:type="page"/>
      </w:r>
    </w:p>
    <w:p>
      <w:pPr>
        <w:pStyle w:val="Heading1"/>
      </w:pPr>
      <w:r>
        <w:t>7 Executive Experience and Corrective Action</w:t>
      </w:r>
    </w:p>
    <w:p>
      <w:r>
        <w:t>The default interface is a concise daily brief and prioritized decision queue. Dashboards provide drill-down, not passive monitoring.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1512"/>
            <w:shd w:fill="17365D"/>
            <w:vAlign w:val="center"/>
          </w:tcPr>
          <w:p>
            <w:r>
              <w:rPr>
                <w:b/>
                <w:color w:val="FFFFFF"/>
                <w:sz w:val="17"/>
              </w:rPr>
              <w:t>Stage</w:t>
            </w:r>
          </w:p>
        </w:tc>
        <w:tc>
          <w:tcPr>
            <w:tcW w:type="dxa" w:w="4824"/>
            <w:shd w:fill="17365D"/>
            <w:vAlign w:val="center"/>
          </w:tcPr>
          <w:p>
            <w:r>
              <w:rPr>
                <w:b/>
                <w:color w:val="FFFFFF"/>
                <w:sz w:val="17"/>
              </w:rPr>
              <w:t>Behavior</w:t>
            </w:r>
          </w:p>
        </w:tc>
        <w:tc>
          <w:tcPr>
            <w:tcW w:type="dxa" w:w="3456"/>
            <w:shd w:fill="17365D"/>
            <w:vAlign w:val="center"/>
          </w:tcPr>
          <w:p>
            <w:r>
              <w:rPr>
                <w:b/>
                <w:color w:val="FFFFFF"/>
                <w:sz w:val="17"/>
              </w:rPr>
              <w:t>Evidence</w:t>
            </w:r>
          </w:p>
        </w:tc>
      </w:tr>
      <w:tr>
        <w:tc>
          <w:tcPr>
            <w:tcW w:type="dxa" w:w="1512"/>
            <w:vAlign w:val="center"/>
          </w:tcPr>
          <w:p>
            <w:pPr>
              <w:spacing w:after="0"/>
            </w:pPr>
            <w:r>
              <w:rPr>
                <w:sz w:val="16"/>
              </w:rPr>
              <w:t>Detect</w:t>
            </w:r>
          </w:p>
        </w:tc>
        <w:tc>
          <w:tcPr>
            <w:tcW w:type="dxa" w:w="4824"/>
            <w:vAlign w:val="center"/>
          </w:tcPr>
          <w:p>
            <w:pPr>
              <w:spacing w:after="0"/>
            </w:pPr>
            <w:r>
              <w:rPr>
                <w:sz w:val="16"/>
              </w:rPr>
              <w:t>Record source, time, entity and confidence</w:t>
            </w:r>
          </w:p>
        </w:tc>
        <w:tc>
          <w:tcPr>
            <w:tcW w:type="dxa" w:w="3456"/>
            <w:vAlign w:val="center"/>
          </w:tcPr>
          <w:p>
            <w:pPr>
              <w:spacing w:after="0"/>
            </w:pPr>
            <w:r>
              <w:rPr>
                <w:sz w:val="16"/>
              </w:rPr>
              <w:t>Source and rule/model version</w:t>
            </w:r>
          </w:p>
        </w:tc>
      </w:tr>
      <w:tr>
        <w:tc>
          <w:tcPr>
            <w:tcW w:type="dxa" w:w="1512"/>
            <w:shd w:fill="EAF2F8"/>
            <w:vAlign w:val="center"/>
          </w:tcPr>
          <w:p>
            <w:pPr>
              <w:spacing w:after="0"/>
            </w:pPr>
            <w:r>
              <w:rPr>
                <w:sz w:val="16"/>
              </w:rPr>
              <w:t>Correlate</w:t>
            </w:r>
          </w:p>
        </w:tc>
        <w:tc>
          <w:tcPr>
            <w:tcW w:type="dxa" w:w="4824"/>
            <w:shd w:fill="EAF2F8"/>
            <w:vAlign w:val="center"/>
          </w:tcPr>
          <w:p>
            <w:pPr>
              <w:spacing w:after="0"/>
            </w:pPr>
            <w:r>
              <w:rPr>
                <w:sz w:val="16"/>
              </w:rPr>
              <w:t>Combine signals and suppress duplicates</w:t>
            </w:r>
          </w:p>
        </w:tc>
        <w:tc>
          <w:tcPr>
            <w:tcW w:type="dxa" w:w="3456"/>
            <w:shd w:fill="EAF2F8"/>
            <w:vAlign w:val="center"/>
          </w:tcPr>
          <w:p>
            <w:pPr>
              <w:spacing w:after="0"/>
            </w:pPr>
            <w:r>
              <w:rPr>
                <w:sz w:val="16"/>
              </w:rPr>
              <w:t>Rationale and suppression log</w:t>
            </w:r>
          </w:p>
        </w:tc>
      </w:tr>
      <w:tr>
        <w:tc>
          <w:tcPr>
            <w:tcW w:type="dxa" w:w="1512"/>
            <w:vAlign w:val="center"/>
          </w:tcPr>
          <w:p>
            <w:pPr>
              <w:spacing w:after="0"/>
            </w:pPr>
            <w:r>
              <w:rPr>
                <w:sz w:val="16"/>
              </w:rPr>
              <w:t>Prioritize</w:t>
            </w:r>
          </w:p>
        </w:tc>
        <w:tc>
          <w:tcPr>
            <w:tcW w:type="dxa" w:w="4824"/>
            <w:vAlign w:val="center"/>
          </w:tcPr>
          <w:p>
            <w:pPr>
              <w:spacing w:after="0"/>
            </w:pPr>
            <w:r>
              <w:rPr>
                <w:sz w:val="16"/>
              </w:rPr>
              <w:t>Set approved severity</w:t>
            </w:r>
          </w:p>
        </w:tc>
        <w:tc>
          <w:tcPr>
            <w:tcW w:type="dxa" w:w="3456"/>
            <w:vAlign w:val="center"/>
          </w:tcPr>
          <w:p>
            <w:pPr>
              <w:spacing w:after="0"/>
            </w:pPr>
            <w:r>
              <w:rPr>
                <w:sz w:val="16"/>
              </w:rPr>
              <w:t>Policy and impact factors</w:t>
            </w:r>
          </w:p>
        </w:tc>
      </w:tr>
      <w:tr>
        <w:tc>
          <w:tcPr>
            <w:tcW w:type="dxa" w:w="1512"/>
            <w:shd w:fill="EAF2F8"/>
            <w:vAlign w:val="center"/>
          </w:tcPr>
          <w:p>
            <w:pPr>
              <w:spacing w:after="0"/>
            </w:pPr>
            <w:r>
              <w:rPr>
                <w:sz w:val="16"/>
              </w:rPr>
              <w:t>Assign</w:t>
            </w:r>
          </w:p>
        </w:tc>
        <w:tc>
          <w:tcPr>
            <w:tcW w:type="dxa" w:w="4824"/>
            <w:shd w:fill="EAF2F8"/>
            <w:vAlign w:val="center"/>
          </w:tcPr>
          <w:p>
            <w:pPr>
              <w:spacing w:after="0"/>
            </w:pPr>
            <w:r>
              <w:rPr>
                <w:sz w:val="16"/>
              </w:rPr>
              <w:t>Create owner and SLA</w:t>
            </w:r>
          </w:p>
        </w:tc>
        <w:tc>
          <w:tcPr>
            <w:tcW w:type="dxa" w:w="3456"/>
            <w:shd w:fill="EAF2F8"/>
            <w:vAlign w:val="center"/>
          </w:tcPr>
          <w:p>
            <w:pPr>
              <w:spacing w:after="0"/>
            </w:pPr>
            <w:r>
              <w:rPr>
                <w:sz w:val="16"/>
              </w:rPr>
              <w:t>Acknowledgment and due time</w:t>
            </w:r>
          </w:p>
        </w:tc>
      </w:tr>
      <w:tr>
        <w:tc>
          <w:tcPr>
            <w:tcW w:type="dxa" w:w="1512"/>
            <w:vAlign w:val="center"/>
          </w:tcPr>
          <w:p>
            <w:pPr>
              <w:spacing w:after="0"/>
            </w:pPr>
            <w:r>
              <w:rPr>
                <w:sz w:val="16"/>
              </w:rPr>
              <w:t>Escalate</w:t>
            </w:r>
          </w:p>
        </w:tc>
        <w:tc>
          <w:tcPr>
            <w:tcW w:type="dxa" w:w="4824"/>
            <w:vAlign w:val="center"/>
          </w:tcPr>
          <w:p>
            <w:pPr>
              <w:spacing w:after="0"/>
            </w:pPr>
            <w:r>
              <w:rPr>
                <w:sz w:val="16"/>
              </w:rPr>
              <w:t>Advance overdue, repeated or severe case</w:t>
            </w:r>
          </w:p>
        </w:tc>
        <w:tc>
          <w:tcPr>
            <w:tcW w:type="dxa" w:w="3456"/>
            <w:vAlign w:val="center"/>
          </w:tcPr>
          <w:p>
            <w:pPr>
              <w:spacing w:after="0"/>
            </w:pPr>
            <w:r>
              <w:rPr>
                <w:sz w:val="16"/>
              </w:rPr>
              <w:t>Notifications and route</w:t>
            </w:r>
          </w:p>
        </w:tc>
      </w:tr>
      <w:tr>
        <w:tc>
          <w:tcPr>
            <w:tcW w:type="dxa" w:w="1512"/>
            <w:shd w:fill="EAF2F8"/>
            <w:vAlign w:val="center"/>
          </w:tcPr>
          <w:p>
            <w:pPr>
              <w:spacing w:after="0"/>
            </w:pPr>
            <w:r>
              <w:rPr>
                <w:sz w:val="16"/>
              </w:rPr>
              <w:t>Resolve</w:t>
            </w:r>
          </w:p>
        </w:tc>
        <w:tc>
          <w:tcPr>
            <w:tcW w:type="dxa" w:w="4824"/>
            <w:shd w:fill="EAF2F8"/>
            <w:vAlign w:val="center"/>
          </w:tcPr>
          <w:p>
            <w:pPr>
              <w:spacing w:after="0"/>
            </w:pPr>
            <w:r>
              <w:rPr>
                <w:sz w:val="16"/>
              </w:rPr>
              <w:t>Capture action and validation</w:t>
            </w:r>
          </w:p>
        </w:tc>
        <w:tc>
          <w:tcPr>
            <w:tcW w:type="dxa" w:w="3456"/>
            <w:shd w:fill="EAF2F8"/>
            <w:vAlign w:val="center"/>
          </w:tcPr>
          <w:p>
            <w:pPr>
              <w:spacing w:after="0"/>
            </w:pPr>
            <w:r>
              <w:rPr>
                <w:sz w:val="16"/>
              </w:rPr>
              <w:t>Closure evidence</w:t>
            </w:r>
          </w:p>
        </w:tc>
      </w:tr>
      <w:tr>
        <w:tc>
          <w:tcPr>
            <w:tcW w:type="dxa" w:w="1512"/>
            <w:vAlign w:val="center"/>
          </w:tcPr>
          <w:p>
            <w:pPr>
              <w:spacing w:after="0"/>
            </w:pPr>
            <w:r>
              <w:rPr>
                <w:sz w:val="16"/>
              </w:rPr>
              <w:t>Learn</w:t>
            </w:r>
          </w:p>
        </w:tc>
        <w:tc>
          <w:tcPr>
            <w:tcW w:type="dxa" w:w="4824"/>
            <w:vAlign w:val="center"/>
          </w:tcPr>
          <w:p>
            <w:pPr>
              <w:spacing w:after="0"/>
            </w:pPr>
            <w:r>
              <w:rPr>
                <w:sz w:val="16"/>
              </w:rPr>
              <w:t>Measure recurrence and effectiveness</w:t>
            </w:r>
          </w:p>
        </w:tc>
        <w:tc>
          <w:tcPr>
            <w:tcW w:type="dxa" w:w="3456"/>
            <w:vAlign w:val="center"/>
          </w:tcPr>
          <w:p>
            <w:pPr>
              <w:spacing w:after="0"/>
            </w:pPr>
            <w:r>
              <w:rPr>
                <w:sz w:val="16"/>
              </w:rPr>
              <w:t>Outcome and approved improvement</w:t>
            </w:r>
          </w:p>
        </w:tc>
      </w:tr>
    </w:tbl>
    <w:p/>
    <w:p>
      <w:pPr>
        <w:pStyle w:val="ListBullet"/>
      </w:pPr>
      <w:r>
        <w:t>30-second enterprise view with freshness and service health.</w:t>
      </w:r>
    </w:p>
    <w:p>
      <w:pPr>
        <w:pStyle w:val="ListBullet"/>
      </w:pPr>
      <w:r>
        <w:t>Daily CEO brief: change, impact, evidence, owner, recommendation and decision due.</w:t>
      </w:r>
    </w:p>
    <w:p>
      <w:pPr>
        <w:pStyle w:val="ListBullet"/>
      </w:pPr>
      <w:r>
        <w:t>Decision queue supports approve, reject, request evidence and delegate.</w:t>
      </w:r>
    </w:p>
    <w:p>
      <w:pPr>
        <w:pStyle w:val="ListBullet"/>
      </w:pPr>
      <w:r>
        <w:t>Provisional pilot targets: zero unauthorized action, 100 percent material traceability, at least 30 percent duplicate-alert reduction and at least 95 percent closure-evidence completeness.</w:t>
      </w:r>
    </w:p>
    <w:p>
      <w:r>
        <w:br w:type="page"/>
      </w:r>
    </w:p>
    <w:p>
      <w:pPr>
        <w:pStyle w:val="Heading1"/>
      </w:pPr>
      <w:r>
        <w:t>8 Cybersecurity and Privacy</w:t>
      </w:r>
    </w:p>
    <w:p>
      <w:r>
        <w:t>Security is embedded in design, delivery and operations, aligned to Wareed policy and applicable Saudi obligations confirmed by Wareed legal and security leadership.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c>
          <w:tcPr>
            <w:tcW w:type="dxa" w:w="2448"/>
            <w:shd w:fill="17365D"/>
            <w:vAlign w:val="center"/>
          </w:tcPr>
          <w:p>
            <w:r>
              <w:rPr>
                <w:b/>
                <w:color w:val="FFFFFF"/>
                <w:sz w:val="17"/>
              </w:rPr>
              <w:t>Area</w:t>
            </w:r>
          </w:p>
        </w:tc>
        <w:tc>
          <w:tcPr>
            <w:tcW w:type="dxa" w:w="7200"/>
            <w:shd w:fill="17365D"/>
            <w:vAlign w:val="center"/>
          </w:tcPr>
          <w:p>
            <w:r>
              <w:rPr>
                <w:b/>
                <w:color w:val="FFFFFF"/>
                <w:sz w:val="17"/>
              </w:rPr>
              <w:t>Response</w:t>
            </w:r>
          </w:p>
        </w:tc>
      </w:tr>
      <w:tr>
        <w:tc>
          <w:tcPr>
            <w:tcW w:type="dxa" w:w="2448"/>
            <w:vAlign w:val="center"/>
          </w:tcPr>
          <w:p>
            <w:pPr>
              <w:spacing w:after="0"/>
            </w:pPr>
            <w:r>
              <w:rPr>
                <w:sz w:val="16"/>
              </w:rPr>
              <w:t>Secure design</w:t>
            </w:r>
          </w:p>
        </w:tc>
        <w:tc>
          <w:tcPr>
            <w:tcW w:type="dxa" w:w="7200"/>
            <w:vAlign w:val="center"/>
          </w:tcPr>
          <w:p>
            <w:pPr>
              <w:spacing w:after="0"/>
            </w:pPr>
            <w:r>
              <w:rPr>
                <w:sz w:val="16"/>
              </w:rPr>
              <w:t>Threat modeling, data-flow review and misuse cases for each agent</w:t>
            </w:r>
          </w:p>
        </w:tc>
      </w:tr>
      <w:tr>
        <w:tc>
          <w:tcPr>
            <w:tcW w:type="dxa" w:w="2448"/>
            <w:shd w:fill="EAF2F8"/>
            <w:vAlign w:val="center"/>
          </w:tcPr>
          <w:p>
            <w:pPr>
              <w:spacing w:after="0"/>
            </w:pPr>
            <w:r>
              <w:rPr>
                <w:sz w:val="16"/>
              </w:rPr>
              <w:t>Access</w:t>
            </w:r>
          </w:p>
        </w:tc>
        <w:tc>
          <w:tcPr>
            <w:tcW w:type="dxa" w:w="7200"/>
            <w:shd w:fill="EAF2F8"/>
            <w:vAlign w:val="center"/>
          </w:tcPr>
          <w:p>
            <w:pPr>
              <w:spacing w:after="0"/>
            </w:pPr>
            <w:r>
              <w:rPr>
                <w:sz w:val="16"/>
              </w:rPr>
              <w:t>Federation, RBAC, least privilege, segregation of duties and reviews</w:t>
            </w:r>
          </w:p>
        </w:tc>
      </w:tr>
      <w:tr>
        <w:tc>
          <w:tcPr>
            <w:tcW w:type="dxa" w:w="2448"/>
            <w:vAlign w:val="center"/>
          </w:tcPr>
          <w:p>
            <w:pPr>
              <w:spacing w:after="0"/>
            </w:pPr>
            <w:r>
              <w:rPr>
                <w:sz w:val="16"/>
              </w:rPr>
              <w:t>Application/API</w:t>
            </w:r>
          </w:p>
        </w:tc>
        <w:tc>
          <w:tcPr>
            <w:tcW w:type="dxa" w:w="7200"/>
            <w:vAlign w:val="center"/>
          </w:tcPr>
          <w:p>
            <w:pPr>
              <w:spacing w:after="0"/>
            </w:pPr>
            <w:r>
              <w:rPr>
                <w:sz w:val="16"/>
              </w:rPr>
              <w:t>Secure SDLC, scanning, secrets, authentication, validation and rate limits</w:t>
            </w:r>
          </w:p>
        </w:tc>
      </w:tr>
      <w:tr>
        <w:tc>
          <w:tcPr>
            <w:tcW w:type="dxa" w:w="2448"/>
            <w:shd w:fill="EAF2F8"/>
            <w:vAlign w:val="center"/>
          </w:tcPr>
          <w:p>
            <w:pPr>
              <w:spacing w:after="0"/>
            </w:pPr>
            <w:r>
              <w:rPr>
                <w:sz w:val="16"/>
              </w:rPr>
              <w:t>AI security</w:t>
            </w:r>
          </w:p>
        </w:tc>
        <w:tc>
          <w:tcPr>
            <w:tcW w:type="dxa" w:w="7200"/>
            <w:shd w:fill="EAF2F8"/>
            <w:vAlign w:val="center"/>
          </w:tcPr>
          <w:p>
            <w:pPr>
              <w:spacing w:after="0"/>
            </w:pPr>
            <w:r>
              <w:rPr>
                <w:sz w:val="16"/>
              </w:rPr>
              <w:t>Prompt-injection controls, data boundaries, model/tool allow-lists and adversarial tests</w:t>
            </w:r>
          </w:p>
        </w:tc>
      </w:tr>
      <w:tr>
        <w:tc>
          <w:tcPr>
            <w:tcW w:type="dxa" w:w="2448"/>
            <w:vAlign w:val="center"/>
          </w:tcPr>
          <w:p>
            <w:pPr>
              <w:spacing w:after="0"/>
            </w:pPr>
            <w:r>
              <w:rPr>
                <w:sz w:val="16"/>
              </w:rPr>
              <w:t>Monitoring</w:t>
            </w:r>
          </w:p>
        </w:tc>
        <w:tc>
          <w:tcPr>
            <w:tcW w:type="dxa" w:w="7200"/>
            <w:vAlign w:val="center"/>
          </w:tcPr>
          <w:p>
            <w:pPr>
              <w:spacing w:after="0"/>
            </w:pPr>
            <w:r>
              <w:rPr>
                <w:sz w:val="16"/>
              </w:rPr>
              <w:t>Central logs, incident playbooks, synchronized time and evidence retention</w:t>
            </w:r>
          </w:p>
        </w:tc>
      </w:tr>
      <w:tr>
        <w:tc>
          <w:tcPr>
            <w:tcW w:type="dxa" w:w="2448"/>
            <w:shd w:fill="EAF2F8"/>
            <w:vAlign w:val="center"/>
          </w:tcPr>
          <w:p>
            <w:pPr>
              <w:spacing w:after="0"/>
            </w:pPr>
            <w:r>
              <w:rPr>
                <w:sz w:val="16"/>
              </w:rPr>
              <w:t>Privacy</w:t>
            </w:r>
          </w:p>
        </w:tc>
        <w:tc>
          <w:tcPr>
            <w:tcW w:type="dxa" w:w="7200"/>
            <w:shd w:fill="EAF2F8"/>
            <w:vAlign w:val="center"/>
          </w:tcPr>
          <w:p>
            <w:pPr>
              <w:spacing w:after="0"/>
            </w:pPr>
            <w:r>
              <w:rPr>
                <w:sz w:val="16"/>
              </w:rPr>
              <w:t>Minimization, purpose limitation, masking, retention and approved vision events</w:t>
            </w:r>
          </w:p>
        </w:tc>
      </w:tr>
      <w:tr>
        <w:tc>
          <w:tcPr>
            <w:tcW w:type="dxa" w:w="2448"/>
            <w:vAlign w:val="center"/>
          </w:tcPr>
          <w:p>
            <w:pPr>
              <w:spacing w:after="0"/>
            </w:pPr>
            <w:r>
              <w:rPr>
                <w:sz w:val="16"/>
              </w:rPr>
              <w:t>Continuity</w:t>
            </w:r>
          </w:p>
        </w:tc>
        <w:tc>
          <w:tcPr>
            <w:tcW w:type="dxa" w:w="7200"/>
            <w:vAlign w:val="center"/>
          </w:tcPr>
          <w:p>
            <w:pPr>
              <w:spacing w:after="0"/>
            </w:pPr>
            <w:r>
              <w:rPr>
                <w:sz w:val="16"/>
              </w:rPr>
              <w:t>Backup, restore testing, tiering and agreed RPO/RTO</w:t>
            </w:r>
          </w:p>
        </w:tc>
      </w:tr>
    </w:tbl>
    <w:p/>
    <w:p>
      <w:r>
        <w:br w:type="page"/>
      </w:r>
    </w:p>
    <w:p>
      <w:pPr>
        <w:pStyle w:val="Heading1"/>
      </w:pPr>
      <w:r>
        <w:t>9 Proof of Concept</w:t>
      </w:r>
    </w:p>
    <w:p>
      <w:r>
        <w:t>An eight-week POC uses representative or synthetic data and demonstrates signal-to-recommendation-to-governed-action.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1008"/>
            <w:shd w:fill="17365D"/>
            <w:vAlign w:val="center"/>
          </w:tcPr>
          <w:p>
            <w:r>
              <w:rPr>
                <w:b/>
                <w:color w:val="FFFFFF"/>
                <w:sz w:val="17"/>
              </w:rPr>
              <w:t>Weeks</w:t>
            </w:r>
          </w:p>
        </w:tc>
        <w:tc>
          <w:tcPr>
            <w:tcW w:type="dxa" w:w="5328"/>
            <w:shd w:fill="17365D"/>
            <w:vAlign w:val="center"/>
          </w:tcPr>
          <w:p>
            <w:r>
              <w:rPr>
                <w:b/>
                <w:color w:val="FFFFFF"/>
                <w:sz w:val="17"/>
              </w:rPr>
              <w:t>Activity</w:t>
            </w:r>
          </w:p>
        </w:tc>
        <w:tc>
          <w:tcPr>
            <w:tcW w:type="dxa" w:w="3312"/>
            <w:shd w:fill="17365D"/>
            <w:vAlign w:val="center"/>
          </w:tcPr>
          <w:p>
            <w:r>
              <w:rPr>
                <w:b/>
                <w:color w:val="FFFFFF"/>
                <w:sz w:val="17"/>
              </w:rPr>
              <w:t>Exit evidence</w:t>
            </w:r>
          </w:p>
        </w:tc>
      </w:tr>
      <w:tr>
        <w:tc>
          <w:tcPr>
            <w:tcW w:type="dxa" w:w="1008"/>
            <w:vAlign w:val="center"/>
          </w:tcPr>
          <w:p>
            <w:pPr>
              <w:spacing w:after="0"/>
            </w:pPr>
            <w:r>
              <w:rPr>
                <w:sz w:val="16"/>
              </w:rPr>
              <w:t>1</w:t>
            </w:r>
          </w:p>
        </w:tc>
        <w:tc>
          <w:tcPr>
            <w:tcW w:type="dxa" w:w="5328"/>
            <w:vAlign w:val="center"/>
          </w:tcPr>
          <w:p>
            <w:pPr>
              <w:spacing w:after="0"/>
            </w:pPr>
            <w:r>
              <w:rPr>
                <w:sz w:val="16"/>
              </w:rPr>
              <w:t>Charter, scenarios, baseline, data and scoring</w:t>
            </w:r>
          </w:p>
        </w:tc>
        <w:tc>
          <w:tcPr>
            <w:tcW w:type="dxa" w:w="3312"/>
            <w:vAlign w:val="center"/>
          </w:tcPr>
          <w:p>
            <w:pPr>
              <w:spacing w:after="0"/>
            </w:pPr>
            <w:r>
              <w:rPr>
                <w:sz w:val="16"/>
              </w:rPr>
              <w:t>Signed charter and scorecard</w:t>
            </w:r>
          </w:p>
        </w:tc>
      </w:tr>
      <w:tr>
        <w:tc>
          <w:tcPr>
            <w:tcW w:type="dxa" w:w="1008"/>
            <w:shd w:fill="EAF2F8"/>
            <w:vAlign w:val="center"/>
          </w:tcPr>
          <w:p>
            <w:pPr>
              <w:spacing w:after="0"/>
            </w:pPr>
            <w:r>
              <w:rPr>
                <w:sz w:val="16"/>
              </w:rPr>
              <w:t>2</w:t>
            </w:r>
          </w:p>
        </w:tc>
        <w:tc>
          <w:tcPr>
            <w:tcW w:type="dxa" w:w="5328"/>
            <w:shd w:fill="EAF2F8"/>
            <w:vAlign w:val="center"/>
          </w:tcPr>
          <w:p>
            <w:pPr>
              <w:spacing w:after="0"/>
            </w:pPr>
            <w:r>
              <w:rPr>
                <w:sz w:val="16"/>
              </w:rPr>
              <w:t>Load data and configure quality/freshness</w:t>
            </w:r>
          </w:p>
        </w:tc>
        <w:tc>
          <w:tcPr>
            <w:tcW w:type="dxa" w:w="3312"/>
            <w:shd w:fill="EAF2F8"/>
            <w:vAlign w:val="center"/>
          </w:tcPr>
          <w:p>
            <w:pPr>
              <w:spacing w:after="0"/>
            </w:pPr>
            <w:r>
              <w:rPr>
                <w:sz w:val="16"/>
              </w:rPr>
              <w:t>Reconciled dataset</w:t>
            </w:r>
          </w:p>
        </w:tc>
      </w:tr>
      <w:tr>
        <w:tc>
          <w:tcPr>
            <w:tcW w:type="dxa" w:w="1008"/>
            <w:vAlign w:val="center"/>
          </w:tcPr>
          <w:p>
            <w:pPr>
              <w:spacing w:after="0"/>
            </w:pPr>
            <w:r>
              <w:rPr>
                <w:sz w:val="16"/>
              </w:rPr>
              <w:t>3-4</w:t>
            </w:r>
          </w:p>
        </w:tc>
        <w:tc>
          <w:tcPr>
            <w:tcW w:type="dxa" w:w="5328"/>
            <w:vAlign w:val="center"/>
          </w:tcPr>
          <w:p>
            <w:pPr>
              <w:spacing w:after="0"/>
            </w:pPr>
            <w:r>
              <w:rPr>
                <w:sz w:val="16"/>
              </w:rPr>
              <w:t>CEO, Branch, Lab, Home Visit, Marketing and IT scenarios</w:t>
            </w:r>
          </w:p>
        </w:tc>
        <w:tc>
          <w:tcPr>
            <w:tcW w:type="dxa" w:w="3312"/>
            <w:vAlign w:val="center"/>
          </w:tcPr>
          <w:p>
            <w:pPr>
              <w:spacing w:after="0"/>
            </w:pPr>
            <w:r>
              <w:rPr>
                <w:sz w:val="16"/>
              </w:rPr>
              <w:t>Traces and evaluations</w:t>
            </w:r>
          </w:p>
        </w:tc>
      </w:tr>
      <w:tr>
        <w:tc>
          <w:tcPr>
            <w:tcW w:type="dxa" w:w="1008"/>
            <w:shd w:fill="EAF2F8"/>
            <w:vAlign w:val="center"/>
          </w:tcPr>
          <w:p>
            <w:pPr>
              <w:spacing w:after="0"/>
            </w:pPr>
            <w:r>
              <w:rPr>
                <w:sz w:val="16"/>
              </w:rPr>
              <w:t>5</w:t>
            </w:r>
          </w:p>
        </w:tc>
        <w:tc>
          <w:tcPr>
            <w:tcW w:type="dxa" w:w="5328"/>
            <w:shd w:fill="EAF2F8"/>
            <w:vAlign w:val="center"/>
          </w:tcPr>
          <w:p>
            <w:pPr>
              <w:spacing w:after="0"/>
            </w:pPr>
            <w:r>
              <w:rPr>
                <w:sz w:val="16"/>
              </w:rPr>
              <w:t>Alert-to-ticket and approvals</w:t>
            </w:r>
          </w:p>
        </w:tc>
        <w:tc>
          <w:tcPr>
            <w:tcW w:type="dxa" w:w="3312"/>
            <w:shd w:fill="EAF2F8"/>
            <w:vAlign w:val="center"/>
          </w:tcPr>
          <w:p>
            <w:pPr>
              <w:spacing w:after="0"/>
            </w:pPr>
            <w:r>
              <w:rPr>
                <w:sz w:val="16"/>
              </w:rPr>
              <w:t>Owner, SLA, escalation and replay</w:t>
            </w:r>
          </w:p>
        </w:tc>
      </w:tr>
      <w:tr>
        <w:tc>
          <w:tcPr>
            <w:tcW w:type="dxa" w:w="1008"/>
            <w:vAlign w:val="center"/>
          </w:tcPr>
          <w:p>
            <w:pPr>
              <w:spacing w:after="0"/>
            </w:pPr>
            <w:r>
              <w:rPr>
                <w:sz w:val="16"/>
              </w:rPr>
              <w:t>6</w:t>
            </w:r>
          </w:p>
        </w:tc>
        <w:tc>
          <w:tcPr>
            <w:tcW w:type="dxa" w:w="5328"/>
            <w:vAlign w:val="center"/>
          </w:tcPr>
          <w:p>
            <w:pPr>
              <w:spacing w:after="0"/>
            </w:pPr>
            <w:r>
              <w:rPr>
                <w:sz w:val="16"/>
              </w:rPr>
              <w:t>Degraded, adversarial and prohibited-action tests</w:t>
            </w:r>
          </w:p>
        </w:tc>
        <w:tc>
          <w:tcPr>
            <w:tcW w:type="dxa" w:w="3312"/>
            <w:vAlign w:val="center"/>
          </w:tcPr>
          <w:p>
            <w:pPr>
              <w:spacing w:after="0"/>
            </w:pPr>
            <w:r>
              <w:rPr>
                <w:sz w:val="16"/>
              </w:rPr>
              <w:t>Test and defect report</w:t>
            </w:r>
          </w:p>
        </w:tc>
      </w:tr>
      <w:tr>
        <w:tc>
          <w:tcPr>
            <w:tcW w:type="dxa" w:w="1008"/>
            <w:shd w:fill="EAF2F8"/>
            <w:vAlign w:val="center"/>
          </w:tcPr>
          <w:p>
            <w:pPr>
              <w:spacing w:after="0"/>
            </w:pPr>
            <w:r>
              <w:rPr>
                <w:sz w:val="16"/>
              </w:rPr>
              <w:t>7</w:t>
            </w:r>
          </w:p>
        </w:tc>
        <w:tc>
          <w:tcPr>
            <w:tcW w:type="dxa" w:w="5328"/>
            <w:shd w:fill="EAF2F8"/>
            <w:vAlign w:val="center"/>
          </w:tcPr>
          <w:p>
            <w:pPr>
              <w:spacing w:after="0"/>
            </w:pPr>
            <w:r>
              <w:rPr>
                <w:sz w:val="16"/>
              </w:rPr>
              <w:t>Business-user evaluation</w:t>
            </w:r>
          </w:p>
        </w:tc>
        <w:tc>
          <w:tcPr>
            <w:tcW w:type="dxa" w:w="3312"/>
            <w:shd w:fill="EAF2F8"/>
            <w:vAlign w:val="center"/>
          </w:tcPr>
          <w:p>
            <w:pPr>
              <w:spacing w:after="0"/>
            </w:pPr>
            <w:r>
              <w:rPr>
                <w:sz w:val="16"/>
              </w:rPr>
              <w:t>Scored results</w:t>
            </w:r>
          </w:p>
        </w:tc>
      </w:tr>
      <w:tr>
        <w:tc>
          <w:tcPr>
            <w:tcW w:type="dxa" w:w="1008"/>
            <w:vAlign w:val="center"/>
          </w:tcPr>
          <w:p>
            <w:pPr>
              <w:spacing w:after="0"/>
            </w:pPr>
            <w:r>
              <w:rPr>
                <w:sz w:val="16"/>
              </w:rPr>
              <w:t>8</w:t>
            </w:r>
          </w:p>
        </w:tc>
        <w:tc>
          <w:tcPr>
            <w:tcW w:type="dxa" w:w="5328"/>
            <w:vAlign w:val="center"/>
          </w:tcPr>
          <w:p>
            <w:pPr>
              <w:spacing w:after="0"/>
            </w:pPr>
            <w:r>
              <w:rPr>
                <w:sz w:val="16"/>
              </w:rPr>
              <w:t>Final demonstration and value case</w:t>
            </w:r>
          </w:p>
        </w:tc>
        <w:tc>
          <w:tcPr>
            <w:tcW w:type="dxa" w:w="3312"/>
            <w:vAlign w:val="center"/>
          </w:tcPr>
          <w:p>
            <w:pPr>
              <w:spacing w:after="0"/>
            </w:pPr>
            <w:r>
              <w:rPr>
                <w:sz w:val="16"/>
              </w:rPr>
              <w:t>POC report and go/no-go</w:t>
            </w:r>
          </w:p>
        </w:tc>
      </w:tr>
    </w:tbl>
    <w:p/>
    <w:p>
      <w:pPr>
        <w:pStyle w:val="ListBullet"/>
      </w:pPr>
      <w:r>
        <w:t>CEO brief identifies three material decisions with evidence.</w:t>
      </w:r>
    </w:p>
    <w:p>
      <w:pPr>
        <w:pStyle w:val="ListBullet"/>
      </w:pPr>
      <w:r>
        <w:t>Branch decline correlates revenue, waiting, staffing and complaints.</w:t>
      </w:r>
    </w:p>
    <w:p>
      <w:pPr>
        <w:pStyle w:val="ListBullet"/>
      </w:pPr>
      <w:r>
        <w:t>Lab scenario identifies an operational TAT bottleneck without clinical decision.</w:t>
      </w:r>
    </w:p>
    <w:p>
      <w:pPr>
        <w:pStyle w:val="ListBullet"/>
      </w:pPr>
      <w:r>
        <w:t>Home Visit recommends route/capacity response and escalates recurrence.</w:t>
      </w:r>
    </w:p>
    <w:p>
      <w:pPr>
        <w:pStyle w:val="ListBullet"/>
      </w:pPr>
      <w:r>
        <w:t>Marketing gives evidence-based Stop, Continue or Adjust recommendation.</w:t>
      </w:r>
    </w:p>
    <w:p>
      <w:pPr>
        <w:pStyle w:val="ListBullet"/>
      </w:pPr>
      <w:r>
        <w:t>Integration failure degrades affected outputs; governance tests permissions, approval and override.</w:t>
      </w:r>
    </w:p>
    <w:p>
      <w:r>
        <w:br w:type="page"/>
      </w:r>
    </w:p>
    <w:p>
      <w:pPr>
        <w:pStyle w:val="Heading1"/>
      </w:pPr>
      <w:r>
        <w:t>10 Implementation Schedule</w:t>
      </w:r>
    </w:p>
    <w:p>
      <w:r>
        <w:t>The indicative 48-week program fits the RFP phase ranges. Timing depends on access, hosting and source-system readiness.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c>
          <w:tcPr>
            <w:tcW w:type="dxa" w:w="1584"/>
            <w:shd w:fill="17365D"/>
            <w:vAlign w:val="center"/>
          </w:tcPr>
          <w:p>
            <w:r>
              <w:rPr>
                <w:b/>
                <w:color w:val="FFFFFF"/>
                <w:sz w:val="17"/>
              </w:rPr>
              <w:t>Phase</w:t>
            </w:r>
          </w:p>
        </w:tc>
        <w:tc>
          <w:tcPr>
            <w:tcW w:type="dxa" w:w="1584"/>
            <w:shd w:fill="17365D"/>
            <w:vAlign w:val="center"/>
          </w:tcPr>
          <w:p>
            <w:r>
              <w:rPr>
                <w:b/>
                <w:color w:val="FFFFFF"/>
                <w:sz w:val="17"/>
              </w:rPr>
              <w:t>Timing</w:t>
            </w:r>
          </w:p>
        </w:tc>
        <w:tc>
          <w:tcPr>
            <w:tcW w:type="dxa" w:w="5040"/>
            <w:shd w:fill="17365D"/>
            <w:vAlign w:val="center"/>
          </w:tcPr>
          <w:p>
            <w:r>
              <w:rPr>
                <w:b/>
                <w:color w:val="FFFFFF"/>
                <w:sz w:val="17"/>
              </w:rPr>
              <w:t>Outcomes</w:t>
            </w:r>
          </w:p>
        </w:tc>
        <w:tc>
          <w:tcPr>
            <w:tcW w:type="dxa" w:w="1728"/>
            <w:shd w:fill="17365D"/>
            <w:vAlign w:val="center"/>
          </w:tcPr>
          <w:p>
            <w:r>
              <w:rPr>
                <w:b/>
                <w:color w:val="FFFFFF"/>
                <w:sz w:val="17"/>
              </w:rPr>
              <w:t>Gate</w:t>
            </w:r>
          </w:p>
        </w:tc>
      </w:tr>
      <w:tr>
        <w:tc>
          <w:tcPr>
            <w:tcW w:type="dxa" w:w="1584"/>
            <w:vAlign w:val="center"/>
          </w:tcPr>
          <w:p>
            <w:pPr>
              <w:spacing w:after="0"/>
            </w:pPr>
            <w:r>
              <w:rPr>
                <w:sz w:val="16"/>
              </w:rPr>
              <w:t>1 Discovery</w:t>
            </w:r>
          </w:p>
        </w:tc>
        <w:tc>
          <w:tcPr>
            <w:tcW w:type="dxa" w:w="1584"/>
            <w:vAlign w:val="center"/>
          </w:tcPr>
          <w:p>
            <w:pPr>
              <w:spacing w:after="0"/>
            </w:pPr>
            <w:r>
              <w:rPr>
                <w:sz w:val="16"/>
              </w:rPr>
              <w:t>Weeks 1-6</w:t>
            </w:r>
          </w:p>
        </w:tc>
        <w:tc>
          <w:tcPr>
            <w:tcW w:type="dxa" w:w="5040"/>
            <w:vAlign w:val="center"/>
          </w:tcPr>
          <w:p>
            <w:pPr>
              <w:spacing w:after="0"/>
            </w:pPr>
            <w:r>
              <w:rPr>
                <w:sz w:val="16"/>
              </w:rPr>
              <w:t>Current state, sovereignty, catalogue, baseline and MVP</w:t>
            </w:r>
          </w:p>
        </w:tc>
        <w:tc>
          <w:tcPr>
            <w:tcW w:type="dxa" w:w="1728"/>
            <w:vAlign w:val="center"/>
          </w:tcPr>
          <w:p>
            <w:pPr>
              <w:spacing w:after="0"/>
            </w:pPr>
            <w:r>
              <w:rPr>
                <w:sz w:val="16"/>
              </w:rPr>
              <w:t>Architecture approval</w:t>
            </w:r>
          </w:p>
        </w:tc>
      </w:tr>
      <w:tr>
        <w:tc>
          <w:tcPr>
            <w:tcW w:type="dxa" w:w="1584"/>
            <w:shd w:fill="EAF2F8"/>
            <w:vAlign w:val="center"/>
          </w:tcPr>
          <w:p>
            <w:pPr>
              <w:spacing w:after="0"/>
            </w:pPr>
            <w:r>
              <w:rPr>
                <w:sz w:val="16"/>
              </w:rPr>
              <w:t>2 Foundation</w:t>
            </w:r>
          </w:p>
        </w:tc>
        <w:tc>
          <w:tcPr>
            <w:tcW w:type="dxa" w:w="1584"/>
            <w:shd w:fill="EAF2F8"/>
            <w:vAlign w:val="center"/>
          </w:tcPr>
          <w:p>
            <w:pPr>
              <w:spacing w:after="0"/>
            </w:pPr>
            <w:r>
              <w:rPr>
                <w:sz w:val="16"/>
              </w:rPr>
              <w:t>Weeks 7-20</w:t>
            </w:r>
          </w:p>
        </w:tc>
        <w:tc>
          <w:tcPr>
            <w:tcW w:type="dxa" w:w="5040"/>
            <w:shd w:fill="EAF2F8"/>
            <w:vAlign w:val="center"/>
          </w:tcPr>
          <w:p>
            <w:pPr>
              <w:spacing w:after="0"/>
            </w:pPr>
            <w:r>
              <w:rPr>
                <w:sz w:val="16"/>
              </w:rPr>
              <w:t>Data, integrations, identity, S1, S2, A0 and observability</w:t>
            </w:r>
          </w:p>
        </w:tc>
        <w:tc>
          <w:tcPr>
            <w:tcW w:type="dxa" w:w="1728"/>
            <w:shd w:fill="EAF2F8"/>
            <w:vAlign w:val="center"/>
          </w:tcPr>
          <w:p>
            <w:pPr>
              <w:spacing w:after="0"/>
            </w:pPr>
            <w:r>
              <w:rPr>
                <w:sz w:val="16"/>
              </w:rPr>
              <w:t>SIT and security acceptance</w:t>
            </w:r>
          </w:p>
        </w:tc>
      </w:tr>
      <w:tr>
        <w:tc>
          <w:tcPr>
            <w:tcW w:type="dxa" w:w="1584"/>
            <w:vAlign w:val="center"/>
          </w:tcPr>
          <w:p>
            <w:pPr>
              <w:spacing w:after="0"/>
            </w:pPr>
            <w:r>
              <w:rPr>
                <w:sz w:val="16"/>
              </w:rPr>
              <w:t>3 MVP</w:t>
            </w:r>
          </w:p>
        </w:tc>
        <w:tc>
          <w:tcPr>
            <w:tcW w:type="dxa" w:w="1584"/>
            <w:vAlign w:val="center"/>
          </w:tcPr>
          <w:p>
            <w:pPr>
              <w:spacing w:after="0"/>
            </w:pPr>
            <w:r>
              <w:rPr>
                <w:sz w:val="16"/>
              </w:rPr>
              <w:t>Weeks 21-32</w:t>
            </w:r>
          </w:p>
        </w:tc>
        <w:tc>
          <w:tcPr>
            <w:tcW w:type="dxa" w:w="5040"/>
            <w:vAlign w:val="center"/>
          </w:tcPr>
          <w:p>
            <w:pPr>
              <w:spacing w:after="0"/>
            </w:pPr>
            <w:r>
              <w:rPr>
                <w:sz w:val="16"/>
              </w:rPr>
              <w:t>A1-A6, executive experience and pilot workflows</w:t>
            </w:r>
          </w:p>
        </w:tc>
        <w:tc>
          <w:tcPr>
            <w:tcW w:type="dxa" w:w="1728"/>
            <w:vAlign w:val="center"/>
          </w:tcPr>
          <w:p>
            <w:pPr>
              <w:spacing w:after="0"/>
            </w:pPr>
            <w:r>
              <w:rPr>
                <w:sz w:val="16"/>
              </w:rPr>
              <w:t>UAT, ORT and pilot acceptance</w:t>
            </w:r>
          </w:p>
        </w:tc>
      </w:tr>
      <w:tr>
        <w:tc>
          <w:tcPr>
            <w:tcW w:type="dxa" w:w="1584"/>
            <w:shd w:fill="EAF2F8"/>
            <w:vAlign w:val="center"/>
          </w:tcPr>
          <w:p>
            <w:pPr>
              <w:spacing w:after="0"/>
            </w:pPr>
            <w:r>
              <w:rPr>
                <w:sz w:val="16"/>
              </w:rPr>
              <w:t>4 Extended</w:t>
            </w:r>
          </w:p>
        </w:tc>
        <w:tc>
          <w:tcPr>
            <w:tcW w:type="dxa" w:w="1584"/>
            <w:shd w:fill="EAF2F8"/>
            <w:vAlign w:val="center"/>
          </w:tcPr>
          <w:p>
            <w:pPr>
              <w:spacing w:after="0"/>
            </w:pPr>
            <w:r>
              <w:rPr>
                <w:sz w:val="16"/>
              </w:rPr>
              <w:t>Weeks 33-48</w:t>
            </w:r>
          </w:p>
        </w:tc>
        <w:tc>
          <w:tcPr>
            <w:tcW w:type="dxa" w:w="5040"/>
            <w:shd w:fill="EAF2F8"/>
            <w:vAlign w:val="center"/>
          </w:tcPr>
          <w:p>
            <w:pPr>
              <w:spacing w:after="0"/>
            </w:pPr>
            <w:r>
              <w:rPr>
                <w:sz w:val="16"/>
              </w:rPr>
              <w:t>A7-A12, optional S3 and approved automation</w:t>
            </w:r>
          </w:p>
        </w:tc>
        <w:tc>
          <w:tcPr>
            <w:tcW w:type="dxa" w:w="1728"/>
            <w:shd w:fill="EAF2F8"/>
            <w:vAlign w:val="center"/>
          </w:tcPr>
          <w:p>
            <w:pPr>
              <w:spacing w:after="0"/>
            </w:pPr>
            <w:r>
              <w:rPr>
                <w:sz w:val="16"/>
              </w:rPr>
              <w:t>Agent/workflow acceptance</w:t>
            </w:r>
          </w:p>
        </w:tc>
      </w:tr>
      <w:tr>
        <w:tc>
          <w:tcPr>
            <w:tcW w:type="dxa" w:w="1584"/>
            <w:vAlign w:val="center"/>
          </w:tcPr>
          <w:p>
            <w:pPr>
              <w:spacing w:after="0"/>
            </w:pPr>
            <w:r>
              <w:rPr>
                <w:sz w:val="16"/>
              </w:rPr>
              <w:t>5 Scale</w:t>
            </w:r>
          </w:p>
        </w:tc>
        <w:tc>
          <w:tcPr>
            <w:tcW w:type="dxa" w:w="1584"/>
            <w:vAlign w:val="center"/>
          </w:tcPr>
          <w:p>
            <w:pPr>
              <w:spacing w:after="0"/>
            </w:pPr>
            <w:r>
              <w:rPr>
                <w:sz w:val="16"/>
              </w:rPr>
              <w:t>Ongoing</w:t>
            </w:r>
          </w:p>
        </w:tc>
        <w:tc>
          <w:tcPr>
            <w:tcW w:type="dxa" w:w="5040"/>
            <w:vAlign w:val="center"/>
          </w:tcPr>
          <w:p>
            <w:pPr>
              <w:spacing w:after="0"/>
            </w:pPr>
            <w:r>
              <w:rPr>
                <w:sz w:val="16"/>
              </w:rPr>
              <w:t>Prediction, expansion and improvement</w:t>
            </w:r>
          </w:p>
        </w:tc>
        <w:tc>
          <w:tcPr>
            <w:tcW w:type="dxa" w:w="1728"/>
            <w:vAlign w:val="center"/>
          </w:tcPr>
          <w:p>
            <w:pPr>
              <w:spacing w:after="0"/>
            </w:pPr>
            <w:r>
              <w:rPr>
                <w:sz w:val="16"/>
              </w:rPr>
              <w:t>Quarterly value review</w:t>
            </w:r>
          </w:p>
        </w:tc>
      </w:tr>
    </w:tbl>
    <w:p/>
    <w:p>
      <w:pPr>
        <w:pStyle w:val="Heading2"/>
      </w:pPr>
      <w:r>
        <w:t>Indicative team</w:t>
      </w:r>
    </w:p>
    <w:p>
      <w:pPr>
        <w:pStyle w:val="ListBullet"/>
      </w:pPr>
      <w:r>
        <w:t>Engagement Director and Program Manager.</w:t>
      </w:r>
    </w:p>
    <w:p>
      <w:pPr>
        <w:pStyle w:val="ListBullet"/>
      </w:pPr>
      <w:r>
        <w:t>Enterprise and AI Architect.</w:t>
      </w:r>
    </w:p>
    <w:p>
      <w:pPr>
        <w:pStyle w:val="ListBullet"/>
      </w:pPr>
      <w:r>
        <w:t>Data and Integration Lead.</w:t>
      </w:r>
    </w:p>
    <w:p>
      <w:pPr>
        <w:pStyle w:val="ListBullet"/>
      </w:pPr>
      <w:r>
        <w:t>AI Engineering and Healthcare Operations Leads.</w:t>
      </w:r>
    </w:p>
    <w:p>
      <w:pPr>
        <w:pStyle w:val="ListBullet"/>
      </w:pPr>
      <w:r>
        <w:t>Security and Privacy Lead.</w:t>
      </w:r>
    </w:p>
    <w:p>
      <w:pPr>
        <w:pStyle w:val="ListBullet"/>
      </w:pPr>
      <w:r>
        <w:t>Change, Training and QA Leads.</w:t>
      </w:r>
    </w:p>
    <w:p>
      <w:pPr>
        <w:pStyle w:val="ListBullet"/>
      </w:pPr>
      <w:r>
        <w:t>Named personnel, allocation and local delivery evidence: [TO BE CONFIRMED].</w:t>
      </w:r>
    </w:p>
    <w:p>
      <w:r>
        <w:br w:type="page"/>
      </w:r>
    </w:p>
    <w:p>
      <w:pPr>
        <w:pStyle w:val="Heading1"/>
      </w:pPr>
      <w:r>
        <w:t>11 Testing and Acceptance</w:t>
      </w:r>
    </w:p>
    <w:p>
      <w:r>
        <w:t>Every release passes data, agent, workflow, security, performance, user and operational readiness tests.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1872"/>
            <w:shd w:fill="17365D"/>
            <w:vAlign w:val="center"/>
          </w:tcPr>
          <w:p>
            <w:r>
              <w:rPr>
                <w:b/>
                <w:color w:val="FFFFFF"/>
                <w:sz w:val="17"/>
              </w:rPr>
              <w:t>Stream</w:t>
            </w:r>
          </w:p>
        </w:tc>
        <w:tc>
          <w:tcPr>
            <w:tcW w:type="dxa" w:w="4680"/>
            <w:shd w:fill="17365D"/>
            <w:vAlign w:val="center"/>
          </w:tcPr>
          <w:p>
            <w:r>
              <w:rPr>
                <w:b/>
                <w:color w:val="FFFFFF"/>
                <w:sz w:val="17"/>
              </w:rPr>
              <w:t>Coverage</w:t>
            </w:r>
          </w:p>
        </w:tc>
        <w:tc>
          <w:tcPr>
            <w:tcW w:type="dxa" w:w="3384"/>
            <w:shd w:fill="17365D"/>
            <w:vAlign w:val="center"/>
          </w:tcPr>
          <w:p>
            <w:r>
              <w:rPr>
                <w:b/>
                <w:color w:val="FFFFFF"/>
                <w:sz w:val="17"/>
              </w:rPr>
              <w:t>Exit</w:t>
            </w:r>
          </w:p>
        </w:tc>
      </w:tr>
      <w:tr>
        <w:tc>
          <w:tcPr>
            <w:tcW w:type="dxa" w:w="1872"/>
            <w:vAlign w:val="center"/>
          </w:tcPr>
          <w:p>
            <w:pPr>
              <w:spacing w:after="0"/>
            </w:pPr>
            <w:r>
              <w:rPr>
                <w:sz w:val="16"/>
              </w:rPr>
              <w:t>Data/integration</w:t>
            </w:r>
          </w:p>
        </w:tc>
        <w:tc>
          <w:tcPr>
            <w:tcW w:type="dxa" w:w="4680"/>
            <w:vAlign w:val="center"/>
          </w:tcPr>
          <w:p>
            <w:pPr>
              <w:spacing w:after="0"/>
            </w:pPr>
            <w:r>
              <w:rPr>
                <w:sz w:val="16"/>
              </w:rPr>
              <w:t>Mapping, reconciliation, freshness, retry and recovery</w:t>
            </w:r>
          </w:p>
        </w:tc>
        <w:tc>
          <w:tcPr>
            <w:tcW w:type="dxa" w:w="3384"/>
            <w:vAlign w:val="center"/>
          </w:tcPr>
          <w:p>
            <w:pPr>
              <w:spacing w:after="0"/>
            </w:pPr>
            <w:r>
              <w:rPr>
                <w:sz w:val="16"/>
              </w:rPr>
              <w:t>Critical sources reconciled and monitored</w:t>
            </w:r>
          </w:p>
        </w:tc>
      </w:tr>
      <w:tr>
        <w:tc>
          <w:tcPr>
            <w:tcW w:type="dxa" w:w="1872"/>
            <w:shd w:fill="EAF2F8"/>
            <w:vAlign w:val="center"/>
          </w:tcPr>
          <w:p>
            <w:pPr>
              <w:spacing w:after="0"/>
            </w:pPr>
            <w:r>
              <w:rPr>
                <w:sz w:val="16"/>
              </w:rPr>
              <w:t>Agent evaluation</w:t>
            </w:r>
          </w:p>
        </w:tc>
        <w:tc>
          <w:tcPr>
            <w:tcW w:type="dxa" w:w="4680"/>
            <w:shd w:fill="EAF2F8"/>
            <w:vAlign w:val="center"/>
          </w:tcPr>
          <w:p>
            <w:pPr>
              <w:spacing w:after="0"/>
            </w:pPr>
            <w:r>
              <w:rPr>
                <w:sz w:val="16"/>
              </w:rPr>
              <w:t>Golden cases, grounding, confidence and prohibited behavior</w:t>
            </w:r>
          </w:p>
        </w:tc>
        <w:tc>
          <w:tcPr>
            <w:tcW w:type="dxa" w:w="3384"/>
            <w:shd w:fill="EAF2F8"/>
            <w:vAlign w:val="center"/>
          </w:tcPr>
          <w:p>
            <w:pPr>
              <w:spacing w:after="0"/>
            </w:pPr>
            <w:r>
              <w:rPr>
                <w:sz w:val="16"/>
              </w:rPr>
              <w:t>Agreed thresholds met</w:t>
            </w:r>
          </w:p>
        </w:tc>
      </w:tr>
      <w:tr>
        <w:tc>
          <w:tcPr>
            <w:tcW w:type="dxa" w:w="1872"/>
            <w:vAlign w:val="center"/>
          </w:tcPr>
          <w:p>
            <w:pPr>
              <w:spacing w:after="0"/>
            </w:pPr>
            <w:r>
              <w:rPr>
                <w:sz w:val="16"/>
              </w:rPr>
              <w:t>Workflow</w:t>
            </w:r>
          </w:p>
        </w:tc>
        <w:tc>
          <w:tcPr>
            <w:tcW w:type="dxa" w:w="4680"/>
            <w:vAlign w:val="center"/>
          </w:tcPr>
          <w:p>
            <w:pPr>
              <w:spacing w:after="0"/>
            </w:pPr>
            <w:r>
              <w:rPr>
                <w:sz w:val="16"/>
              </w:rPr>
              <w:t>Ownership, SLA, approval, override and closure</w:t>
            </w:r>
          </w:p>
        </w:tc>
        <w:tc>
          <w:tcPr>
            <w:tcW w:type="dxa" w:w="3384"/>
            <w:vAlign w:val="center"/>
          </w:tcPr>
          <w:p>
            <w:pPr>
              <w:spacing w:after="0"/>
            </w:pPr>
            <w:r>
              <w:rPr>
                <w:sz w:val="16"/>
              </w:rPr>
              <w:t>End-to-end pass</w:t>
            </w:r>
          </w:p>
        </w:tc>
      </w:tr>
      <w:tr>
        <w:tc>
          <w:tcPr>
            <w:tcW w:type="dxa" w:w="1872"/>
            <w:shd w:fill="EAF2F8"/>
            <w:vAlign w:val="center"/>
          </w:tcPr>
          <w:p>
            <w:pPr>
              <w:spacing w:after="0"/>
            </w:pPr>
            <w:r>
              <w:rPr>
                <w:sz w:val="16"/>
              </w:rPr>
              <w:t>Security/privacy</w:t>
            </w:r>
          </w:p>
        </w:tc>
        <w:tc>
          <w:tcPr>
            <w:tcW w:type="dxa" w:w="4680"/>
            <w:shd w:fill="EAF2F8"/>
            <w:vAlign w:val="center"/>
          </w:tcPr>
          <w:p>
            <w:pPr>
              <w:spacing w:after="0"/>
            </w:pPr>
            <w:r>
              <w:rPr>
                <w:sz w:val="16"/>
              </w:rPr>
              <w:t>Access, vulnerability, adversarial AI and logs</w:t>
            </w:r>
          </w:p>
        </w:tc>
        <w:tc>
          <w:tcPr>
            <w:tcW w:type="dxa" w:w="3384"/>
            <w:shd w:fill="EAF2F8"/>
            <w:vAlign w:val="center"/>
          </w:tcPr>
          <w:p>
            <w:pPr>
              <w:spacing w:after="0"/>
            </w:pPr>
            <w:r>
              <w:rPr>
                <w:sz w:val="16"/>
              </w:rPr>
              <w:t>No unresolved critical/high issue unless accepted</w:t>
            </w:r>
          </w:p>
        </w:tc>
      </w:tr>
      <w:tr>
        <w:tc>
          <w:tcPr>
            <w:tcW w:type="dxa" w:w="1872"/>
            <w:vAlign w:val="center"/>
          </w:tcPr>
          <w:p>
            <w:pPr>
              <w:spacing w:after="0"/>
            </w:pPr>
            <w:r>
              <w:rPr>
                <w:sz w:val="16"/>
              </w:rPr>
              <w:t>Performance</w:t>
            </w:r>
          </w:p>
        </w:tc>
        <w:tc>
          <w:tcPr>
            <w:tcW w:type="dxa" w:w="4680"/>
            <w:vAlign w:val="center"/>
          </w:tcPr>
          <w:p>
            <w:pPr>
              <w:spacing w:after="0"/>
            </w:pPr>
            <w:r>
              <w:rPr>
                <w:sz w:val="16"/>
              </w:rPr>
              <w:t>Latency, throughput, scale, recovery and cost</w:t>
            </w:r>
          </w:p>
        </w:tc>
        <w:tc>
          <w:tcPr>
            <w:tcW w:type="dxa" w:w="3384"/>
            <w:vAlign w:val="center"/>
          </w:tcPr>
          <w:p>
            <w:pPr>
              <w:spacing w:after="0"/>
            </w:pPr>
            <w:r>
              <w:rPr>
                <w:sz w:val="16"/>
              </w:rPr>
              <w:t>Service targets met</w:t>
            </w:r>
          </w:p>
        </w:tc>
      </w:tr>
      <w:tr>
        <w:tc>
          <w:tcPr>
            <w:tcW w:type="dxa" w:w="1872"/>
            <w:shd w:fill="EAF2F8"/>
            <w:vAlign w:val="center"/>
          </w:tcPr>
          <w:p>
            <w:pPr>
              <w:spacing w:after="0"/>
            </w:pPr>
            <w:r>
              <w:rPr>
                <w:sz w:val="16"/>
              </w:rPr>
              <w:t>UAT/ORT</w:t>
            </w:r>
          </w:p>
        </w:tc>
        <w:tc>
          <w:tcPr>
            <w:tcW w:type="dxa" w:w="4680"/>
            <w:shd w:fill="EAF2F8"/>
            <w:vAlign w:val="center"/>
          </w:tcPr>
          <w:p>
            <w:pPr>
              <w:spacing w:after="0"/>
            </w:pPr>
            <w:r>
              <w:rPr>
                <w:sz w:val="16"/>
              </w:rPr>
              <w:t>Usability, correctness, people, support and runbooks</w:t>
            </w:r>
          </w:p>
        </w:tc>
        <w:tc>
          <w:tcPr>
            <w:tcW w:type="dxa" w:w="3384"/>
            <w:shd w:fill="EAF2F8"/>
            <w:vAlign w:val="center"/>
          </w:tcPr>
          <w:p>
            <w:pPr>
              <w:spacing w:after="0"/>
            </w:pPr>
            <w:r>
              <w:rPr>
                <w:sz w:val="16"/>
              </w:rPr>
              <w:t>Authorized sign-off</w:t>
            </w:r>
          </w:p>
        </w:tc>
      </w:tr>
    </w:tbl>
    <w:p/>
    <w:p>
      <w:r>
        <w:br w:type="page"/>
      </w:r>
    </w:p>
    <w:p>
      <w:pPr>
        <w:pStyle w:val="Heading1"/>
      </w:pPr>
      <w:r>
        <w:t>12 Training and Change Management</w:t>
      </w:r>
    </w:p>
    <w:p>
      <w:r>
        <w:t>Adoption focuses on changed decisions and accountability, not just navigation.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2160"/>
            <w:shd w:fill="17365D"/>
            <w:vAlign w:val="center"/>
          </w:tcPr>
          <w:p>
            <w:r>
              <w:rPr>
                <w:b/>
                <w:color w:val="FFFFFF"/>
                <w:sz w:val="17"/>
              </w:rPr>
              <w:t>Audience</w:t>
            </w:r>
          </w:p>
        </w:tc>
        <w:tc>
          <w:tcPr>
            <w:tcW w:type="dxa" w:w="4896"/>
            <w:shd w:fill="17365D"/>
            <w:vAlign w:val="center"/>
          </w:tcPr>
          <w:p>
            <w:r>
              <w:rPr>
                <w:b/>
                <w:color w:val="FFFFFF"/>
                <w:sz w:val="17"/>
              </w:rPr>
              <w:t>Outcome</w:t>
            </w:r>
          </w:p>
        </w:tc>
        <w:tc>
          <w:tcPr>
            <w:tcW w:type="dxa" w:w="2736"/>
            <w:shd w:fill="17365D"/>
            <w:vAlign w:val="center"/>
          </w:tcPr>
          <w:p>
            <w:r>
              <w:rPr>
                <w:b/>
                <w:color w:val="FFFFFF"/>
                <w:sz w:val="17"/>
              </w:rPr>
              <w:t>Format</w:t>
            </w:r>
          </w:p>
        </w:tc>
      </w:tr>
      <w:tr>
        <w:tc>
          <w:tcPr>
            <w:tcW w:type="dxa" w:w="2160"/>
            <w:vAlign w:val="center"/>
          </w:tcPr>
          <w:p>
            <w:pPr>
              <w:spacing w:after="0"/>
            </w:pPr>
            <w:r>
              <w:rPr>
                <w:sz w:val="16"/>
              </w:rPr>
              <w:t>Executives</w:t>
            </w:r>
          </w:p>
        </w:tc>
        <w:tc>
          <w:tcPr>
            <w:tcW w:type="dxa" w:w="4896"/>
            <w:vAlign w:val="center"/>
          </w:tcPr>
          <w:p>
            <w:pPr>
              <w:spacing w:after="0"/>
            </w:pPr>
            <w:r>
              <w:rPr>
                <w:sz w:val="16"/>
              </w:rPr>
              <w:t>Use brief, queue and evidence</w:t>
            </w:r>
          </w:p>
        </w:tc>
        <w:tc>
          <w:tcPr>
            <w:tcW w:type="dxa" w:w="2736"/>
            <w:vAlign w:val="center"/>
          </w:tcPr>
          <w:p>
            <w:pPr>
              <w:spacing w:after="0"/>
            </w:pPr>
            <w:r>
              <w:rPr>
                <w:sz w:val="16"/>
              </w:rPr>
              <w:t>Scenario briefing</w:t>
            </w:r>
          </w:p>
        </w:tc>
      </w:tr>
      <w:tr>
        <w:tc>
          <w:tcPr>
            <w:tcW w:type="dxa" w:w="2160"/>
            <w:shd w:fill="EAF2F8"/>
            <w:vAlign w:val="center"/>
          </w:tcPr>
          <w:p>
            <w:pPr>
              <w:spacing w:after="0"/>
            </w:pPr>
            <w:r>
              <w:rPr>
                <w:sz w:val="16"/>
              </w:rPr>
              <w:t>Domain owners</w:t>
            </w:r>
          </w:p>
        </w:tc>
        <w:tc>
          <w:tcPr>
            <w:tcW w:type="dxa" w:w="4896"/>
            <w:shd w:fill="EAF2F8"/>
            <w:vAlign w:val="center"/>
          </w:tcPr>
          <w:p>
            <w:pPr>
              <w:spacing w:after="0"/>
            </w:pPr>
            <w:r>
              <w:rPr>
                <w:sz w:val="16"/>
              </w:rPr>
              <w:t>Own KPIs, policy, playbooks and authority</w:t>
            </w:r>
          </w:p>
        </w:tc>
        <w:tc>
          <w:tcPr>
            <w:tcW w:type="dxa" w:w="2736"/>
            <w:shd w:fill="EAF2F8"/>
            <w:vAlign w:val="center"/>
          </w:tcPr>
          <w:p>
            <w:pPr>
              <w:spacing w:after="0"/>
            </w:pPr>
            <w:r>
              <w:rPr>
                <w:sz w:val="16"/>
              </w:rPr>
              <w:t>Design workshops</w:t>
            </w:r>
          </w:p>
        </w:tc>
      </w:tr>
      <w:tr>
        <w:tc>
          <w:tcPr>
            <w:tcW w:type="dxa" w:w="2160"/>
            <w:vAlign w:val="center"/>
          </w:tcPr>
          <w:p>
            <w:pPr>
              <w:spacing w:after="0"/>
            </w:pPr>
            <w:r>
              <w:rPr>
                <w:sz w:val="16"/>
              </w:rPr>
              <w:t>Operations</w:t>
            </w:r>
          </w:p>
        </w:tc>
        <w:tc>
          <w:tcPr>
            <w:tcW w:type="dxa" w:w="4896"/>
            <w:vAlign w:val="center"/>
          </w:tcPr>
          <w:p>
            <w:pPr>
              <w:spacing w:after="0"/>
            </w:pPr>
            <w:r>
              <w:rPr>
                <w:sz w:val="16"/>
              </w:rPr>
              <w:t>Acknowledge, resolve, escalate and close</w:t>
            </w:r>
          </w:p>
        </w:tc>
        <w:tc>
          <w:tcPr>
            <w:tcW w:type="dxa" w:w="2736"/>
            <w:vAlign w:val="center"/>
          </w:tcPr>
          <w:p>
            <w:pPr>
              <w:spacing w:after="0"/>
            </w:pPr>
            <w:r>
              <w:rPr>
                <w:sz w:val="16"/>
              </w:rPr>
              <w:t>Role practice</w:t>
            </w:r>
          </w:p>
        </w:tc>
      </w:tr>
      <w:tr>
        <w:tc>
          <w:tcPr>
            <w:tcW w:type="dxa" w:w="2160"/>
            <w:shd w:fill="EAF2F8"/>
            <w:vAlign w:val="center"/>
          </w:tcPr>
          <w:p>
            <w:pPr>
              <w:spacing w:after="0"/>
            </w:pPr>
            <w:r>
              <w:rPr>
                <w:sz w:val="16"/>
              </w:rPr>
              <w:t>Data stewards</w:t>
            </w:r>
          </w:p>
        </w:tc>
        <w:tc>
          <w:tcPr>
            <w:tcW w:type="dxa" w:w="4896"/>
            <w:shd w:fill="EAF2F8"/>
            <w:vAlign w:val="center"/>
          </w:tcPr>
          <w:p>
            <w:pPr>
              <w:spacing w:after="0"/>
            </w:pPr>
            <w:r>
              <w:rPr>
                <w:sz w:val="16"/>
              </w:rPr>
              <w:t>Manage definitions, quality and lineage</w:t>
            </w:r>
          </w:p>
        </w:tc>
        <w:tc>
          <w:tcPr>
            <w:tcW w:type="dxa" w:w="2736"/>
            <w:shd w:fill="EAF2F8"/>
            <w:vAlign w:val="center"/>
          </w:tcPr>
          <w:p>
            <w:pPr>
              <w:spacing w:after="0"/>
            </w:pPr>
            <w:r>
              <w:rPr>
                <w:sz w:val="16"/>
              </w:rPr>
              <w:t>Hands-on sessions</w:t>
            </w:r>
          </w:p>
        </w:tc>
      </w:tr>
      <w:tr>
        <w:tc>
          <w:tcPr>
            <w:tcW w:type="dxa" w:w="2160"/>
            <w:vAlign w:val="center"/>
          </w:tcPr>
          <w:p>
            <w:pPr>
              <w:spacing w:after="0"/>
            </w:pPr>
            <w:r>
              <w:rPr>
                <w:sz w:val="16"/>
              </w:rPr>
              <w:t>IT/security</w:t>
            </w:r>
          </w:p>
        </w:tc>
        <w:tc>
          <w:tcPr>
            <w:tcW w:type="dxa" w:w="4896"/>
            <w:vAlign w:val="center"/>
          </w:tcPr>
          <w:p>
            <w:pPr>
              <w:spacing w:after="0"/>
            </w:pPr>
            <w:r>
              <w:rPr>
                <w:sz w:val="16"/>
              </w:rPr>
              <w:t>Operate controls, integrations and incidents</w:t>
            </w:r>
          </w:p>
        </w:tc>
        <w:tc>
          <w:tcPr>
            <w:tcW w:type="dxa" w:w="2736"/>
            <w:vAlign w:val="center"/>
          </w:tcPr>
          <w:p>
            <w:pPr>
              <w:spacing w:after="0"/>
            </w:pPr>
            <w:r>
              <w:rPr>
                <w:sz w:val="16"/>
              </w:rPr>
              <w:t>Technical training</w:t>
            </w:r>
          </w:p>
        </w:tc>
      </w:tr>
      <w:tr>
        <w:tc>
          <w:tcPr>
            <w:tcW w:type="dxa" w:w="2160"/>
            <w:shd w:fill="EAF2F8"/>
            <w:vAlign w:val="center"/>
          </w:tcPr>
          <w:p>
            <w:pPr>
              <w:spacing w:after="0"/>
            </w:pPr>
            <w:r>
              <w:rPr>
                <w:sz w:val="16"/>
              </w:rPr>
              <w:t>Administrators</w:t>
            </w:r>
          </w:p>
        </w:tc>
        <w:tc>
          <w:tcPr>
            <w:tcW w:type="dxa" w:w="4896"/>
            <w:shd w:fill="EAF2F8"/>
            <w:vAlign w:val="center"/>
          </w:tcPr>
          <w:p>
            <w:pPr>
              <w:spacing w:after="0"/>
            </w:pPr>
            <w:r>
              <w:rPr>
                <w:sz w:val="16"/>
              </w:rPr>
              <w:t>Manage registry, policy and evaluations</w:t>
            </w:r>
          </w:p>
        </w:tc>
        <w:tc>
          <w:tcPr>
            <w:tcW w:type="dxa" w:w="2736"/>
            <w:shd w:fill="EAF2F8"/>
            <w:vAlign w:val="center"/>
          </w:tcPr>
          <w:p>
            <w:pPr>
              <w:spacing w:after="0"/>
            </w:pPr>
            <w:r>
              <w:rPr>
                <w:sz w:val="16"/>
              </w:rPr>
              <w:t>Certification</w:t>
            </w:r>
          </w:p>
        </w:tc>
      </w:tr>
    </w:tbl>
    <w:p/>
    <w:p>
      <w:pPr>
        <w:pStyle w:val="ListBullet"/>
      </w:pPr>
      <w:r>
        <w:t>Measure proficiency, active workflow use, manual follow-up reduction, recommendation disposition, trust and time to resolve quality feedback.</w:t>
      </w:r>
    </w:p>
    <w:p>
      <w:r>
        <w:br w:type="page"/>
      </w:r>
    </w:p>
    <w:p>
      <w:pPr>
        <w:pStyle w:val="Heading1"/>
      </w:pPr>
      <w:r>
        <w:t>13 Support and Managed Service</w:t>
      </w:r>
    </w:p>
    <w:p>
      <w:r>
        <w:t>A joint service desk covers platform, integration and agent operations. Final commitments depend on topology and service hours.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1440"/>
            <w:shd w:fill="17365D"/>
            <w:vAlign w:val="center"/>
          </w:tcPr>
          <w:p>
            <w:r>
              <w:rPr>
                <w:b/>
                <w:color w:val="FFFFFF"/>
                <w:sz w:val="17"/>
              </w:rPr>
              <w:t>Priority</w:t>
            </w:r>
          </w:p>
        </w:tc>
        <w:tc>
          <w:tcPr>
            <w:tcW w:type="dxa" w:w="5616"/>
            <w:shd w:fill="17365D"/>
            <w:vAlign w:val="center"/>
          </w:tcPr>
          <w:p>
            <w:r>
              <w:rPr>
                <w:b/>
                <w:color w:val="FFFFFF"/>
                <w:sz w:val="17"/>
              </w:rPr>
              <w:t>Example</w:t>
            </w:r>
          </w:p>
        </w:tc>
        <w:tc>
          <w:tcPr>
            <w:tcW w:type="dxa" w:w="2736"/>
            <w:shd w:fill="17365D"/>
            <w:vAlign w:val="center"/>
          </w:tcPr>
          <w:p>
            <w:r>
              <w:rPr>
                <w:b/>
                <w:color w:val="FFFFFF"/>
                <w:sz w:val="17"/>
              </w:rPr>
              <w:t>Initial response</w:t>
            </w:r>
          </w:p>
        </w:tc>
      </w:tr>
      <w:tr>
        <w:tc>
          <w:tcPr>
            <w:tcW w:type="dxa" w:w="1440"/>
            <w:vAlign w:val="center"/>
          </w:tcPr>
          <w:p>
            <w:pPr>
              <w:spacing w:after="0"/>
            </w:pPr>
            <w:r>
              <w:rPr>
                <w:sz w:val="16"/>
              </w:rPr>
              <w:t>P1</w:t>
            </w:r>
          </w:p>
        </w:tc>
        <w:tc>
          <w:tcPr>
            <w:tcW w:type="dxa" w:w="5616"/>
            <w:vAlign w:val="center"/>
          </w:tcPr>
          <w:p>
            <w:pPr>
              <w:spacing w:after="0"/>
            </w:pPr>
            <w:r>
              <w:rPr>
                <w:sz w:val="16"/>
              </w:rPr>
              <w:t>Outage, unauthorized action or severe security/data risk</w:t>
            </w:r>
          </w:p>
        </w:tc>
        <w:tc>
          <w:tcPr>
            <w:tcW w:type="dxa" w:w="2736"/>
            <w:vAlign w:val="center"/>
          </w:tcPr>
          <w:p>
            <w:pPr>
              <w:spacing w:after="0"/>
            </w:pPr>
            <w:r>
              <w:rPr>
                <w:sz w:val="16"/>
              </w:rPr>
              <w:t>15 minutes, 24x7 [TO CONFIRM]</w:t>
            </w:r>
          </w:p>
        </w:tc>
      </w:tr>
      <w:tr>
        <w:tc>
          <w:tcPr>
            <w:tcW w:type="dxa" w:w="1440"/>
            <w:shd w:fill="EAF2F8"/>
            <w:vAlign w:val="center"/>
          </w:tcPr>
          <w:p>
            <w:pPr>
              <w:spacing w:after="0"/>
            </w:pPr>
            <w:r>
              <w:rPr>
                <w:sz w:val="16"/>
              </w:rPr>
              <w:t>P2</w:t>
            </w:r>
          </w:p>
        </w:tc>
        <w:tc>
          <w:tcPr>
            <w:tcW w:type="dxa" w:w="5616"/>
            <w:shd w:fill="EAF2F8"/>
            <w:vAlign w:val="center"/>
          </w:tcPr>
          <w:p>
            <w:pPr>
              <w:spacing w:after="0"/>
            </w:pPr>
            <w:r>
              <w:rPr>
                <w:sz w:val="16"/>
              </w:rPr>
              <w:t>Material degradation of critical workflow</w:t>
            </w:r>
          </w:p>
        </w:tc>
        <w:tc>
          <w:tcPr>
            <w:tcW w:type="dxa" w:w="2736"/>
            <w:shd w:fill="EAF2F8"/>
            <w:vAlign w:val="center"/>
          </w:tcPr>
          <w:p>
            <w:pPr>
              <w:spacing w:after="0"/>
            </w:pPr>
            <w:r>
              <w:rPr>
                <w:sz w:val="16"/>
              </w:rPr>
              <w:t>30 minutes [TO CONFIRM]</w:t>
            </w:r>
          </w:p>
        </w:tc>
      </w:tr>
      <w:tr>
        <w:tc>
          <w:tcPr>
            <w:tcW w:type="dxa" w:w="1440"/>
            <w:vAlign w:val="center"/>
          </w:tcPr>
          <w:p>
            <w:pPr>
              <w:spacing w:after="0"/>
            </w:pPr>
            <w:r>
              <w:rPr>
                <w:sz w:val="16"/>
              </w:rPr>
              <w:t>P3</w:t>
            </w:r>
          </w:p>
        </w:tc>
        <w:tc>
          <w:tcPr>
            <w:tcW w:type="dxa" w:w="5616"/>
            <w:vAlign w:val="center"/>
          </w:tcPr>
          <w:p>
            <w:pPr>
              <w:spacing w:after="0"/>
            </w:pPr>
            <w:r>
              <w:rPr>
                <w:sz w:val="16"/>
              </w:rPr>
              <w:t>Non-critical defect with workaround</w:t>
            </w:r>
          </w:p>
        </w:tc>
        <w:tc>
          <w:tcPr>
            <w:tcW w:type="dxa" w:w="2736"/>
            <w:vAlign w:val="center"/>
          </w:tcPr>
          <w:p>
            <w:pPr>
              <w:spacing w:after="0"/>
            </w:pPr>
            <w:r>
              <w:rPr>
                <w:sz w:val="16"/>
              </w:rPr>
              <w:t>4 business hours [TO CONFIRM]</w:t>
            </w:r>
          </w:p>
        </w:tc>
      </w:tr>
      <w:tr>
        <w:tc>
          <w:tcPr>
            <w:tcW w:type="dxa" w:w="1440"/>
            <w:shd w:fill="EAF2F8"/>
            <w:vAlign w:val="center"/>
          </w:tcPr>
          <w:p>
            <w:pPr>
              <w:spacing w:after="0"/>
            </w:pPr>
            <w:r>
              <w:rPr>
                <w:sz w:val="16"/>
              </w:rPr>
              <w:t>P4</w:t>
            </w:r>
          </w:p>
        </w:tc>
        <w:tc>
          <w:tcPr>
            <w:tcW w:type="dxa" w:w="5616"/>
            <w:shd w:fill="EAF2F8"/>
            <w:vAlign w:val="center"/>
          </w:tcPr>
          <w:p>
            <w:pPr>
              <w:spacing w:after="0"/>
            </w:pPr>
            <w:r>
              <w:rPr>
                <w:sz w:val="16"/>
              </w:rPr>
              <w:t>Request or minor defect</w:t>
            </w:r>
          </w:p>
        </w:tc>
        <w:tc>
          <w:tcPr>
            <w:tcW w:type="dxa" w:w="2736"/>
            <w:shd w:fill="EAF2F8"/>
            <w:vAlign w:val="center"/>
          </w:tcPr>
          <w:p>
            <w:pPr>
              <w:spacing w:after="0"/>
            </w:pPr>
            <w:r>
              <w:rPr>
                <w:sz w:val="16"/>
              </w:rPr>
              <w:t>1 business day [TO CONFIRM]</w:t>
            </w:r>
          </w:p>
        </w:tc>
      </w:tr>
    </w:tbl>
    <w:p/>
    <w:p>
      <w:pPr>
        <w:pStyle w:val="ListBullet"/>
      </w:pPr>
      <w:r>
        <w:t>Monitor platform, agent, integration, freshness, quality, security and cost.</w:t>
      </w:r>
    </w:p>
    <w:p>
      <w:pPr>
        <w:pStyle w:val="ListBullet"/>
      </w:pPr>
      <w:r>
        <w:t>Incident, problem and controlled change management.</w:t>
      </w:r>
    </w:p>
    <w:p>
      <w:pPr>
        <w:pStyle w:val="ListBullet"/>
      </w:pPr>
      <w:r>
        <w:t>Monthly evaluation, drift and false-alert review.</w:t>
      </w:r>
    </w:p>
    <w:p>
      <w:pPr>
        <w:pStyle w:val="ListBullet"/>
      </w:pPr>
      <w:r>
        <w:t>Patch, vulnerability, backup and recovery coordination.</w:t>
      </w:r>
    </w:p>
    <w:p>
      <w:pPr>
        <w:pStyle w:val="ListBullet"/>
      </w:pPr>
      <w:r>
        <w:t>Quarterly value review, runbook maintenance and exit support.</w:t>
      </w:r>
    </w:p>
    <w:p>
      <w:r>
        <w:br w:type="page"/>
      </w:r>
    </w:p>
    <w:p>
      <w:pPr>
        <w:pStyle w:val="Heading1"/>
      </w:pPr>
      <w:r>
        <w:t>14 Commercial Proposal</w:t>
      </w:r>
    </w:p>
    <w:p>
      <w:r>
        <w:t>The model is phased and milestone-based. Final prices require source volumes, hosting, services and SLA confirmation.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c>
          <w:tcPr>
            <w:tcW w:type="dxa" w:w="3456"/>
            <w:shd w:fill="17365D"/>
            <w:vAlign w:val="center"/>
          </w:tcPr>
          <w:p>
            <w:r>
              <w:rPr>
                <w:b/>
                <w:color w:val="FFFFFF"/>
                <w:sz w:val="17"/>
              </w:rPr>
              <w:t>Work package</w:t>
            </w:r>
          </w:p>
        </w:tc>
        <w:tc>
          <w:tcPr>
            <w:tcW w:type="dxa" w:w="2448"/>
            <w:shd w:fill="17365D"/>
            <w:vAlign w:val="center"/>
          </w:tcPr>
          <w:p>
            <w:r>
              <w:rPr>
                <w:b/>
                <w:color w:val="FFFFFF"/>
                <w:sz w:val="17"/>
              </w:rPr>
              <w:t>Basis</w:t>
            </w:r>
          </w:p>
        </w:tc>
        <w:tc>
          <w:tcPr>
            <w:tcW w:type="dxa" w:w="1800"/>
            <w:shd w:fill="17365D"/>
            <w:vAlign w:val="center"/>
          </w:tcPr>
          <w:p>
            <w:r>
              <w:rPr>
                <w:b/>
                <w:color w:val="FFFFFF"/>
                <w:sz w:val="17"/>
              </w:rPr>
              <w:t>One-time SAR</w:t>
            </w:r>
          </w:p>
        </w:tc>
        <w:tc>
          <w:tcPr>
            <w:tcW w:type="dxa" w:w="1944"/>
            <w:shd w:fill="17365D"/>
            <w:vAlign w:val="center"/>
          </w:tcPr>
          <w:p>
            <w:r>
              <w:rPr>
                <w:b/>
                <w:color w:val="FFFFFF"/>
                <w:sz w:val="17"/>
              </w:rPr>
              <w:t>Recurring SAR</w:t>
            </w:r>
          </w:p>
        </w:tc>
      </w:tr>
      <w:tr>
        <w:tc>
          <w:tcPr>
            <w:tcW w:type="dxa" w:w="3456"/>
            <w:vAlign w:val="center"/>
          </w:tcPr>
          <w:p>
            <w:pPr>
              <w:spacing w:after="0"/>
            </w:pPr>
            <w:r>
              <w:rPr>
                <w:sz w:val="16"/>
              </w:rPr>
              <w:t>Discovery and design</w:t>
            </w:r>
          </w:p>
        </w:tc>
        <w:tc>
          <w:tcPr>
            <w:tcW w:type="dxa" w:w="2448"/>
            <w:vAlign w:val="center"/>
          </w:tcPr>
          <w:p>
            <w:pPr>
              <w:spacing w:after="0"/>
            </w:pPr>
            <w:r>
              <w:rPr>
                <w:sz w:val="16"/>
              </w:rPr>
              <w:t>Fixed fee</w:t>
            </w:r>
          </w:p>
        </w:tc>
        <w:tc>
          <w:tcPr>
            <w:tcW w:type="dxa" w:w="1800"/>
            <w:vAlign w:val="center"/>
          </w:tcPr>
          <w:p>
            <w:pPr>
              <w:spacing w:after="0"/>
            </w:pPr>
            <w:r>
              <w:rPr>
                <w:sz w:val="16"/>
              </w:rPr>
              <w:t>[TO CONFIRM]</w:t>
            </w:r>
          </w:p>
        </w:tc>
        <w:tc>
          <w:tcPr>
            <w:tcW w:type="dxa" w:w="1944"/>
            <w:vAlign w:val="center"/>
          </w:tcPr>
          <w:p>
            <w:pPr>
              <w:spacing w:after="0"/>
            </w:pPr>
            <w:r>
              <w:rPr>
                <w:sz w:val="16"/>
              </w:rPr>
              <w:t>-</w:t>
            </w:r>
          </w:p>
        </w:tc>
      </w:tr>
      <w:tr>
        <w:tc>
          <w:tcPr>
            <w:tcW w:type="dxa" w:w="3456"/>
            <w:shd w:fill="EAF2F8"/>
            <w:vAlign w:val="center"/>
          </w:tcPr>
          <w:p>
            <w:pPr>
              <w:spacing w:after="0"/>
            </w:pPr>
            <w:r>
              <w:rPr>
                <w:sz w:val="16"/>
              </w:rPr>
              <w:t>Data and control foundation</w:t>
            </w:r>
          </w:p>
        </w:tc>
        <w:tc>
          <w:tcPr>
            <w:tcW w:type="dxa" w:w="2448"/>
            <w:shd w:fill="EAF2F8"/>
            <w:vAlign w:val="center"/>
          </w:tcPr>
          <w:p>
            <w:pPr>
              <w:spacing w:after="0"/>
            </w:pPr>
            <w:r>
              <w:rPr>
                <w:sz w:val="16"/>
              </w:rPr>
              <w:t>Milestone fee</w:t>
            </w:r>
          </w:p>
        </w:tc>
        <w:tc>
          <w:tcPr>
            <w:tcW w:type="dxa" w:w="1800"/>
            <w:shd w:fill="EAF2F8"/>
            <w:vAlign w:val="center"/>
          </w:tcPr>
          <w:p>
            <w:pPr>
              <w:spacing w:after="0"/>
            </w:pPr>
            <w:r>
              <w:rPr>
                <w:sz w:val="16"/>
              </w:rPr>
              <w:t>[TO CONFIRM]</w:t>
            </w:r>
          </w:p>
        </w:tc>
        <w:tc>
          <w:tcPr>
            <w:tcW w:type="dxa" w:w="1944"/>
            <w:shd w:fill="EAF2F8"/>
            <w:vAlign w:val="center"/>
          </w:tcPr>
          <w:p>
            <w:pPr>
              <w:spacing w:after="0"/>
            </w:pPr>
            <w:r>
              <w:rPr>
                <w:sz w:val="16"/>
              </w:rPr>
              <w:t>[Infrastructure]</w:t>
            </w:r>
          </w:p>
        </w:tc>
      </w:tr>
      <w:tr>
        <w:tc>
          <w:tcPr>
            <w:tcW w:type="dxa" w:w="3456"/>
            <w:vAlign w:val="center"/>
          </w:tcPr>
          <w:p>
            <w:pPr>
              <w:spacing w:after="0"/>
            </w:pPr>
            <w:r>
              <w:rPr>
                <w:sz w:val="16"/>
              </w:rPr>
              <w:t>MVP agents</w:t>
            </w:r>
          </w:p>
        </w:tc>
        <w:tc>
          <w:tcPr>
            <w:tcW w:type="dxa" w:w="2448"/>
            <w:vAlign w:val="center"/>
          </w:tcPr>
          <w:p>
            <w:pPr>
              <w:spacing w:after="0"/>
            </w:pPr>
            <w:r>
              <w:rPr>
                <w:sz w:val="16"/>
              </w:rPr>
              <w:t>Per accepted release</w:t>
            </w:r>
          </w:p>
        </w:tc>
        <w:tc>
          <w:tcPr>
            <w:tcW w:type="dxa" w:w="1800"/>
            <w:vAlign w:val="center"/>
          </w:tcPr>
          <w:p>
            <w:pPr>
              <w:spacing w:after="0"/>
            </w:pPr>
            <w:r>
              <w:rPr>
                <w:sz w:val="16"/>
              </w:rPr>
              <w:t>[TO CONFIRM]</w:t>
            </w:r>
          </w:p>
        </w:tc>
        <w:tc>
          <w:tcPr>
            <w:tcW w:type="dxa" w:w="1944"/>
            <w:vAlign w:val="center"/>
          </w:tcPr>
          <w:p>
            <w:pPr>
              <w:spacing w:after="0"/>
            </w:pPr>
            <w:r>
              <w:rPr>
                <w:sz w:val="16"/>
              </w:rPr>
              <w:t>[Platform/model use]</w:t>
            </w:r>
          </w:p>
        </w:tc>
      </w:tr>
      <w:tr>
        <w:tc>
          <w:tcPr>
            <w:tcW w:type="dxa" w:w="3456"/>
            <w:shd w:fill="EAF2F8"/>
            <w:vAlign w:val="center"/>
          </w:tcPr>
          <w:p>
            <w:pPr>
              <w:spacing w:after="0"/>
            </w:pPr>
            <w:r>
              <w:rPr>
                <w:sz w:val="16"/>
              </w:rPr>
              <w:t>Extended agents</w:t>
            </w:r>
          </w:p>
        </w:tc>
        <w:tc>
          <w:tcPr>
            <w:tcW w:type="dxa" w:w="2448"/>
            <w:shd w:fill="EAF2F8"/>
            <w:vAlign w:val="center"/>
          </w:tcPr>
          <w:p>
            <w:pPr>
              <w:spacing w:after="0"/>
            </w:pPr>
            <w:r>
              <w:rPr>
                <w:sz w:val="16"/>
              </w:rPr>
              <w:t>Unit or phase fee</w:t>
            </w:r>
          </w:p>
        </w:tc>
        <w:tc>
          <w:tcPr>
            <w:tcW w:type="dxa" w:w="1800"/>
            <w:shd w:fill="EAF2F8"/>
            <w:vAlign w:val="center"/>
          </w:tcPr>
          <w:p>
            <w:pPr>
              <w:spacing w:after="0"/>
            </w:pPr>
            <w:r>
              <w:rPr>
                <w:sz w:val="16"/>
              </w:rPr>
              <w:t>[TO CONFIRM]</w:t>
            </w:r>
          </w:p>
        </w:tc>
        <w:tc>
          <w:tcPr>
            <w:tcW w:type="dxa" w:w="1944"/>
            <w:shd w:fill="EAF2F8"/>
            <w:vAlign w:val="center"/>
          </w:tcPr>
          <w:p>
            <w:pPr>
              <w:spacing w:after="0"/>
            </w:pPr>
            <w:r>
              <w:rPr>
                <w:sz w:val="16"/>
              </w:rPr>
              <w:t>[Incremental use]</w:t>
            </w:r>
          </w:p>
        </w:tc>
      </w:tr>
      <w:tr>
        <w:tc>
          <w:tcPr>
            <w:tcW w:type="dxa" w:w="3456"/>
            <w:vAlign w:val="center"/>
          </w:tcPr>
          <w:p>
            <w:pPr>
              <w:spacing w:after="0"/>
            </w:pPr>
            <w:r>
              <w:rPr>
                <w:sz w:val="16"/>
              </w:rPr>
              <w:t>Managed service</w:t>
            </w:r>
          </w:p>
        </w:tc>
        <w:tc>
          <w:tcPr>
            <w:tcW w:type="dxa" w:w="2448"/>
            <w:vAlign w:val="center"/>
          </w:tcPr>
          <w:p>
            <w:pPr>
              <w:spacing w:after="0"/>
            </w:pPr>
            <w:r>
              <w:rPr>
                <w:sz w:val="16"/>
              </w:rPr>
              <w:t>Monthly fee</w:t>
            </w:r>
          </w:p>
        </w:tc>
        <w:tc>
          <w:tcPr>
            <w:tcW w:type="dxa" w:w="1800"/>
            <w:vAlign w:val="center"/>
          </w:tcPr>
          <w:p>
            <w:pPr>
              <w:spacing w:after="0"/>
            </w:pPr>
            <w:r>
              <w:rPr>
                <w:sz w:val="16"/>
              </w:rPr>
              <w:t>-</w:t>
            </w:r>
          </w:p>
        </w:tc>
        <w:tc>
          <w:tcPr>
            <w:tcW w:type="dxa" w:w="1944"/>
            <w:vAlign w:val="center"/>
          </w:tcPr>
          <w:p>
            <w:pPr>
              <w:spacing w:after="0"/>
            </w:pPr>
            <w:r>
              <w:rPr>
                <w:sz w:val="16"/>
              </w:rPr>
              <w:t>[TO CONFIRM]</w:t>
            </w:r>
          </w:p>
        </w:tc>
      </w:tr>
      <w:tr>
        <w:tc>
          <w:tcPr>
            <w:tcW w:type="dxa" w:w="3456"/>
            <w:shd w:fill="EAF2F8"/>
            <w:vAlign w:val="center"/>
          </w:tcPr>
          <w:p>
            <w:pPr>
              <w:spacing w:after="0"/>
            </w:pPr>
            <w:r>
              <w:rPr>
                <w:sz w:val="16"/>
              </w:rPr>
              <w:t>Optional vision service</w:t>
            </w:r>
          </w:p>
        </w:tc>
        <w:tc>
          <w:tcPr>
            <w:tcW w:type="dxa" w:w="2448"/>
            <w:shd w:fill="EAF2F8"/>
            <w:vAlign w:val="center"/>
          </w:tcPr>
          <w:p>
            <w:pPr>
              <w:spacing w:after="0"/>
            </w:pPr>
            <w:r>
              <w:rPr>
                <w:sz w:val="16"/>
              </w:rPr>
              <w:t>Separate option</w:t>
            </w:r>
          </w:p>
        </w:tc>
        <w:tc>
          <w:tcPr>
            <w:tcW w:type="dxa" w:w="1800"/>
            <w:shd w:fill="EAF2F8"/>
            <w:vAlign w:val="center"/>
          </w:tcPr>
          <w:p>
            <w:pPr>
              <w:spacing w:after="0"/>
            </w:pPr>
            <w:r>
              <w:rPr>
                <w:sz w:val="16"/>
              </w:rPr>
              <w:t>[TO CONFIRM]</w:t>
            </w:r>
          </w:p>
        </w:tc>
        <w:tc>
          <w:tcPr>
            <w:tcW w:type="dxa" w:w="1944"/>
            <w:shd w:fill="EAF2F8"/>
            <w:vAlign w:val="center"/>
          </w:tcPr>
          <w:p>
            <w:pPr>
              <w:spacing w:after="0"/>
            </w:pPr>
            <w:r>
              <w:rPr>
                <w:sz w:val="16"/>
              </w:rPr>
              <w:t>[TO CONFIRM]</w:t>
            </w:r>
          </w:p>
        </w:tc>
      </w:tr>
      <w:tr>
        <w:tc>
          <w:tcPr>
            <w:tcW w:type="dxa" w:w="3456"/>
            <w:vAlign w:val="center"/>
          </w:tcPr>
          <w:p>
            <w:pPr>
              <w:spacing w:after="0"/>
            </w:pPr>
            <w:r>
              <w:rPr>
                <w:sz w:val="16"/>
              </w:rPr>
              <w:t>Optional physical layer</w:t>
            </w:r>
          </w:p>
        </w:tc>
        <w:tc>
          <w:tcPr>
            <w:tcW w:type="dxa" w:w="2448"/>
            <w:vAlign w:val="center"/>
          </w:tcPr>
          <w:p>
            <w:pPr>
              <w:spacing w:after="0"/>
            </w:pPr>
            <w:r>
              <w:rPr>
                <w:sz w:val="16"/>
              </w:rPr>
              <w:t>Separate option</w:t>
            </w:r>
          </w:p>
        </w:tc>
        <w:tc>
          <w:tcPr>
            <w:tcW w:type="dxa" w:w="1800"/>
            <w:vAlign w:val="center"/>
          </w:tcPr>
          <w:p>
            <w:pPr>
              <w:spacing w:after="0"/>
            </w:pPr>
            <w:r>
              <w:rPr>
                <w:sz w:val="16"/>
              </w:rPr>
              <w:t>[TO CONFIRM]</w:t>
            </w:r>
          </w:p>
        </w:tc>
        <w:tc>
          <w:tcPr>
            <w:tcW w:type="dxa" w:w="1944"/>
            <w:vAlign w:val="center"/>
          </w:tcPr>
          <w:p>
            <w:pPr>
              <w:spacing w:after="0"/>
            </w:pPr>
            <w:r>
              <w:rPr>
                <w:sz w:val="16"/>
              </w:rPr>
              <w:t>[TO CONFIRM]</w:t>
            </w:r>
          </w:p>
        </w:tc>
      </w:tr>
    </w:tbl>
    <w:p/>
    <w:p>
      <w:pPr>
        <w:pStyle w:val="ListBullet"/>
      </w:pPr>
      <w:r>
        <w:t>Payments align to accepted discovery, architecture, foundation, MVP, pilot, extended workflow, stabilization and final acceptance.</w:t>
      </w:r>
    </w:p>
    <w:p>
      <w:pPr>
        <w:pStyle w:val="ListBullet"/>
      </w:pPr>
      <w:r>
        <w:t>Third-party, infrastructure and model costs are transparent and separate.</w:t>
      </w:r>
    </w:p>
    <w:p>
      <w:pPr>
        <w:pStyle w:val="ListBullet"/>
      </w:pPr>
      <w:r>
        <w:t>Usage assumptions and overage rules are explicit.</w:t>
      </w:r>
    </w:p>
    <w:p>
      <w:pPr>
        <w:pStyle w:val="ListBullet"/>
      </w:pPr>
      <w:r>
        <w:t>VAT and contractual payment percentages are to be confirmed.</w:t>
      </w:r>
    </w:p>
    <w:p>
      <w:r>
        <w:br w:type="page"/>
      </w:r>
    </w:p>
    <w:p>
      <w:pPr>
        <w:pStyle w:val="Heading1"/>
      </w:pPr>
      <w:r>
        <w:t>15 Risk Register</w:t>
      </w:r>
    </w:p>
    <w:p>
      <w:r>
        <w:t>Risks are jointly owned and reviewed through phase gates.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c>
          <w:tcPr>
            <w:tcW w:type="dxa" w:w="648"/>
            <w:shd w:fill="17365D"/>
            <w:vAlign w:val="center"/>
          </w:tcPr>
          <w:p>
            <w:r>
              <w:rPr>
                <w:b/>
                <w:color w:val="FFFFFF"/>
                <w:sz w:val="17"/>
              </w:rPr>
              <w:t>ID</w:t>
            </w:r>
          </w:p>
        </w:tc>
        <w:tc>
          <w:tcPr>
            <w:tcW w:type="dxa" w:w="2880"/>
            <w:shd w:fill="17365D"/>
            <w:vAlign w:val="center"/>
          </w:tcPr>
          <w:p>
            <w:r>
              <w:rPr>
                <w:b/>
                <w:color w:val="FFFFFF"/>
                <w:sz w:val="17"/>
              </w:rPr>
              <w:t>Risk</w:t>
            </w:r>
          </w:p>
        </w:tc>
        <w:tc>
          <w:tcPr>
            <w:tcW w:type="dxa" w:w="1080"/>
            <w:shd w:fill="17365D"/>
            <w:vAlign w:val="center"/>
          </w:tcPr>
          <w:p>
            <w:r>
              <w:rPr>
                <w:b/>
                <w:color w:val="FFFFFF"/>
                <w:sz w:val="17"/>
              </w:rPr>
              <w:t>Rating</w:t>
            </w:r>
          </w:p>
        </w:tc>
        <w:tc>
          <w:tcPr>
            <w:tcW w:type="dxa" w:w="5040"/>
            <w:shd w:fill="17365D"/>
            <w:vAlign w:val="center"/>
          </w:tcPr>
          <w:p>
            <w:r>
              <w:rPr>
                <w:b/>
                <w:color w:val="FFFFFF"/>
                <w:sz w:val="17"/>
              </w:rPr>
              <w:t>Mitigation</w:t>
            </w:r>
          </w:p>
        </w:tc>
      </w:tr>
      <w:tr>
        <w:tc>
          <w:tcPr>
            <w:tcW w:type="dxa" w:w="648"/>
            <w:vAlign w:val="center"/>
          </w:tcPr>
          <w:p>
            <w:pPr>
              <w:spacing w:after="0"/>
            </w:pPr>
            <w:r>
              <w:rPr>
                <w:sz w:val="16"/>
              </w:rPr>
              <w:t>R1</w:t>
            </w:r>
          </w:p>
        </w:tc>
        <w:tc>
          <w:tcPr>
            <w:tcW w:type="dxa" w:w="2880"/>
            <w:vAlign w:val="center"/>
          </w:tcPr>
          <w:p>
            <w:pPr>
              <w:spacing w:after="0"/>
            </w:pPr>
            <w:r>
              <w:rPr>
                <w:sz w:val="16"/>
              </w:rPr>
              <w:t>Source access/quality</w:t>
            </w:r>
          </w:p>
        </w:tc>
        <w:tc>
          <w:tcPr>
            <w:tcW w:type="dxa" w:w="1080"/>
            <w:vAlign w:val="center"/>
          </w:tcPr>
          <w:p>
            <w:pPr>
              <w:spacing w:after="0"/>
            </w:pPr>
            <w:r>
              <w:rPr>
                <w:sz w:val="16"/>
              </w:rPr>
              <w:t>High</w:t>
            </w:r>
          </w:p>
        </w:tc>
        <w:tc>
          <w:tcPr>
            <w:tcW w:type="dxa" w:w="5040"/>
            <w:vAlign w:val="center"/>
          </w:tcPr>
          <w:p>
            <w:pPr>
              <w:spacing w:after="0"/>
            </w:pPr>
            <w:r>
              <w:rPr>
                <w:sz w:val="16"/>
              </w:rPr>
              <w:t>Early discovery, synthetic POC, quality gates and owner escalation</w:t>
            </w:r>
          </w:p>
        </w:tc>
      </w:tr>
      <w:tr>
        <w:tc>
          <w:tcPr>
            <w:tcW w:type="dxa" w:w="648"/>
            <w:shd w:fill="EAF2F8"/>
            <w:vAlign w:val="center"/>
          </w:tcPr>
          <w:p>
            <w:pPr>
              <w:spacing w:after="0"/>
            </w:pPr>
            <w:r>
              <w:rPr>
                <w:sz w:val="16"/>
              </w:rPr>
              <w:t>R2</w:t>
            </w:r>
          </w:p>
        </w:tc>
        <w:tc>
          <w:tcPr>
            <w:tcW w:type="dxa" w:w="2880"/>
            <w:shd w:fill="EAF2F8"/>
            <w:vAlign w:val="center"/>
          </w:tcPr>
          <w:p>
            <w:pPr>
              <w:spacing w:after="0"/>
            </w:pPr>
            <w:r>
              <w:rPr>
                <w:sz w:val="16"/>
              </w:rPr>
              <w:t>Unclear KPI definitions</w:t>
            </w:r>
          </w:p>
        </w:tc>
        <w:tc>
          <w:tcPr>
            <w:tcW w:type="dxa" w:w="1080"/>
            <w:shd w:fill="EAF2F8"/>
            <w:vAlign w:val="center"/>
          </w:tcPr>
          <w:p>
            <w:pPr>
              <w:spacing w:after="0"/>
            </w:pPr>
            <w:r>
              <w:rPr>
                <w:sz w:val="16"/>
              </w:rPr>
              <w:t>High</w:t>
            </w:r>
          </w:p>
        </w:tc>
        <w:tc>
          <w:tcPr>
            <w:tcW w:type="dxa" w:w="5040"/>
            <w:shd w:fill="EAF2F8"/>
            <w:vAlign w:val="center"/>
          </w:tcPr>
          <w:p>
            <w:pPr>
              <w:spacing w:after="0"/>
            </w:pPr>
            <w:r>
              <w:rPr>
                <w:sz w:val="16"/>
              </w:rPr>
              <w:t>Signed dictionary and reconciliation</w:t>
            </w:r>
          </w:p>
        </w:tc>
      </w:tr>
      <w:tr>
        <w:tc>
          <w:tcPr>
            <w:tcW w:type="dxa" w:w="648"/>
            <w:vAlign w:val="center"/>
          </w:tcPr>
          <w:p>
            <w:pPr>
              <w:spacing w:after="0"/>
            </w:pPr>
            <w:r>
              <w:rPr>
                <w:sz w:val="16"/>
              </w:rPr>
              <w:t>R3</w:t>
            </w:r>
          </w:p>
        </w:tc>
        <w:tc>
          <w:tcPr>
            <w:tcW w:type="dxa" w:w="2880"/>
            <w:vAlign w:val="center"/>
          </w:tcPr>
          <w:p>
            <w:pPr>
              <w:spacing w:after="0"/>
            </w:pPr>
            <w:r>
              <w:rPr>
                <w:sz w:val="16"/>
              </w:rPr>
              <w:t>Alert fatigue</w:t>
            </w:r>
          </w:p>
        </w:tc>
        <w:tc>
          <w:tcPr>
            <w:tcW w:type="dxa" w:w="1080"/>
            <w:vAlign w:val="center"/>
          </w:tcPr>
          <w:p>
            <w:pPr>
              <w:spacing w:after="0"/>
            </w:pPr>
            <w:r>
              <w:rPr>
                <w:sz w:val="16"/>
              </w:rPr>
              <w:t>High</w:t>
            </w:r>
          </w:p>
        </w:tc>
        <w:tc>
          <w:tcPr>
            <w:tcW w:type="dxa" w:w="5040"/>
            <w:vAlign w:val="center"/>
          </w:tcPr>
          <w:p>
            <w:pPr>
              <w:spacing w:after="0"/>
            </w:pPr>
            <w:r>
              <w:rPr>
                <w:sz w:val="16"/>
              </w:rPr>
              <w:t>Severity, deduplication and outcome review</w:t>
            </w:r>
          </w:p>
        </w:tc>
      </w:tr>
      <w:tr>
        <w:tc>
          <w:tcPr>
            <w:tcW w:type="dxa" w:w="648"/>
            <w:shd w:fill="EAF2F8"/>
            <w:vAlign w:val="center"/>
          </w:tcPr>
          <w:p>
            <w:pPr>
              <w:spacing w:after="0"/>
            </w:pPr>
            <w:r>
              <w:rPr>
                <w:sz w:val="16"/>
              </w:rPr>
              <w:t>R4</w:t>
            </w:r>
          </w:p>
        </w:tc>
        <w:tc>
          <w:tcPr>
            <w:tcW w:type="dxa" w:w="2880"/>
            <w:shd w:fill="EAF2F8"/>
            <w:vAlign w:val="center"/>
          </w:tcPr>
          <w:p>
            <w:pPr>
              <w:spacing w:after="0"/>
            </w:pPr>
            <w:r>
              <w:rPr>
                <w:sz w:val="16"/>
              </w:rPr>
              <w:t>Unsupported confidence</w:t>
            </w:r>
          </w:p>
        </w:tc>
        <w:tc>
          <w:tcPr>
            <w:tcW w:type="dxa" w:w="1080"/>
            <w:shd w:fill="EAF2F8"/>
            <w:vAlign w:val="center"/>
          </w:tcPr>
          <w:p>
            <w:pPr>
              <w:spacing w:after="0"/>
            </w:pPr>
            <w:r>
              <w:rPr>
                <w:sz w:val="16"/>
              </w:rPr>
              <w:t>High</w:t>
            </w:r>
          </w:p>
        </w:tc>
        <w:tc>
          <w:tcPr>
            <w:tcW w:type="dxa" w:w="5040"/>
            <w:shd w:fill="EAF2F8"/>
            <w:vAlign w:val="center"/>
          </w:tcPr>
          <w:p>
            <w:pPr>
              <w:spacing w:after="0"/>
            </w:pPr>
            <w:r>
              <w:rPr>
                <w:sz w:val="16"/>
              </w:rPr>
              <w:t>Grounding, evaluation and human approval</w:t>
            </w:r>
          </w:p>
        </w:tc>
      </w:tr>
      <w:tr>
        <w:tc>
          <w:tcPr>
            <w:tcW w:type="dxa" w:w="648"/>
            <w:vAlign w:val="center"/>
          </w:tcPr>
          <w:p>
            <w:pPr>
              <w:spacing w:after="0"/>
            </w:pPr>
            <w:r>
              <w:rPr>
                <w:sz w:val="16"/>
              </w:rPr>
              <w:t>R5</w:t>
            </w:r>
          </w:p>
        </w:tc>
        <w:tc>
          <w:tcPr>
            <w:tcW w:type="dxa" w:w="2880"/>
            <w:vAlign w:val="center"/>
          </w:tcPr>
          <w:p>
            <w:pPr>
              <w:spacing w:after="0"/>
            </w:pPr>
            <w:r>
              <w:rPr>
                <w:sz w:val="16"/>
              </w:rPr>
              <w:t>Unauthorized action</w:t>
            </w:r>
          </w:p>
        </w:tc>
        <w:tc>
          <w:tcPr>
            <w:tcW w:type="dxa" w:w="1080"/>
            <w:vAlign w:val="center"/>
          </w:tcPr>
          <w:p>
            <w:pPr>
              <w:spacing w:after="0"/>
            </w:pPr>
            <w:r>
              <w:rPr>
                <w:sz w:val="16"/>
              </w:rPr>
              <w:t>Critical</w:t>
            </w:r>
          </w:p>
        </w:tc>
        <w:tc>
          <w:tcPr>
            <w:tcW w:type="dxa" w:w="5040"/>
            <w:vAlign w:val="center"/>
          </w:tcPr>
          <w:p>
            <w:pPr>
              <w:spacing w:after="0"/>
            </w:pPr>
            <w:r>
              <w:rPr>
                <w:sz w:val="16"/>
              </w:rPr>
              <w:t>Allow-lists, policy, negative tests and emergency stop</w:t>
            </w:r>
          </w:p>
        </w:tc>
      </w:tr>
      <w:tr>
        <w:tc>
          <w:tcPr>
            <w:tcW w:type="dxa" w:w="648"/>
            <w:shd w:fill="EAF2F8"/>
            <w:vAlign w:val="center"/>
          </w:tcPr>
          <w:p>
            <w:pPr>
              <w:spacing w:after="0"/>
            </w:pPr>
            <w:r>
              <w:rPr>
                <w:sz w:val="16"/>
              </w:rPr>
              <w:t>R6</w:t>
            </w:r>
          </w:p>
        </w:tc>
        <w:tc>
          <w:tcPr>
            <w:tcW w:type="dxa" w:w="2880"/>
            <w:shd w:fill="EAF2F8"/>
            <w:vAlign w:val="center"/>
          </w:tcPr>
          <w:p>
            <w:pPr>
              <w:spacing w:after="0"/>
            </w:pPr>
            <w:r>
              <w:rPr>
                <w:sz w:val="16"/>
              </w:rPr>
              <w:t>Privacy/residency breach</w:t>
            </w:r>
          </w:p>
        </w:tc>
        <w:tc>
          <w:tcPr>
            <w:tcW w:type="dxa" w:w="1080"/>
            <w:shd w:fill="EAF2F8"/>
            <w:vAlign w:val="center"/>
          </w:tcPr>
          <w:p>
            <w:pPr>
              <w:spacing w:after="0"/>
            </w:pPr>
            <w:r>
              <w:rPr>
                <w:sz w:val="16"/>
              </w:rPr>
              <w:t>Critical</w:t>
            </w:r>
          </w:p>
        </w:tc>
        <w:tc>
          <w:tcPr>
            <w:tcW w:type="dxa" w:w="5040"/>
            <w:shd w:fill="EAF2F8"/>
            <w:vAlign w:val="center"/>
          </w:tcPr>
          <w:p>
            <w:pPr>
              <w:spacing w:after="0"/>
            </w:pPr>
            <w:r>
              <w:rPr>
                <w:sz w:val="16"/>
              </w:rPr>
              <w:t>Classification, Saudi boundary, encryption and audit</w:t>
            </w:r>
          </w:p>
        </w:tc>
      </w:tr>
      <w:tr>
        <w:tc>
          <w:tcPr>
            <w:tcW w:type="dxa" w:w="648"/>
            <w:vAlign w:val="center"/>
          </w:tcPr>
          <w:p>
            <w:pPr>
              <w:spacing w:after="0"/>
            </w:pPr>
            <w:r>
              <w:rPr>
                <w:sz w:val="16"/>
              </w:rPr>
              <w:t>R7</w:t>
            </w:r>
          </w:p>
        </w:tc>
        <w:tc>
          <w:tcPr>
            <w:tcW w:type="dxa" w:w="2880"/>
            <w:vAlign w:val="center"/>
          </w:tcPr>
          <w:p>
            <w:pPr>
              <w:spacing w:after="0"/>
            </w:pPr>
            <w:r>
              <w:rPr>
                <w:sz w:val="16"/>
              </w:rPr>
              <w:t>Model lock-in</w:t>
            </w:r>
          </w:p>
        </w:tc>
        <w:tc>
          <w:tcPr>
            <w:tcW w:type="dxa" w:w="1080"/>
            <w:vAlign w:val="center"/>
          </w:tcPr>
          <w:p>
            <w:pPr>
              <w:spacing w:after="0"/>
            </w:pPr>
            <w:r>
              <w:rPr>
                <w:sz w:val="16"/>
              </w:rPr>
              <w:t>Medium</w:t>
            </w:r>
          </w:p>
        </w:tc>
        <w:tc>
          <w:tcPr>
            <w:tcW w:type="dxa" w:w="5040"/>
            <w:vAlign w:val="center"/>
          </w:tcPr>
          <w:p>
            <w:pPr>
              <w:spacing w:after="0"/>
            </w:pPr>
            <w:r>
              <w:rPr>
                <w:sz w:val="16"/>
              </w:rPr>
              <w:t>Gateway and portable policies/evaluations</w:t>
            </w:r>
          </w:p>
        </w:tc>
      </w:tr>
      <w:tr>
        <w:tc>
          <w:tcPr>
            <w:tcW w:type="dxa" w:w="648"/>
            <w:shd w:fill="EAF2F8"/>
            <w:vAlign w:val="center"/>
          </w:tcPr>
          <w:p>
            <w:pPr>
              <w:spacing w:after="0"/>
            </w:pPr>
            <w:r>
              <w:rPr>
                <w:sz w:val="16"/>
              </w:rPr>
              <w:t>R8</w:t>
            </w:r>
          </w:p>
        </w:tc>
        <w:tc>
          <w:tcPr>
            <w:tcW w:type="dxa" w:w="2880"/>
            <w:shd w:fill="EAF2F8"/>
            <w:vAlign w:val="center"/>
          </w:tcPr>
          <w:p>
            <w:pPr>
              <w:spacing w:after="0"/>
            </w:pPr>
            <w:r>
              <w:rPr>
                <w:sz w:val="16"/>
              </w:rPr>
              <w:t>User resistance</w:t>
            </w:r>
          </w:p>
        </w:tc>
        <w:tc>
          <w:tcPr>
            <w:tcW w:type="dxa" w:w="1080"/>
            <w:shd w:fill="EAF2F8"/>
            <w:vAlign w:val="center"/>
          </w:tcPr>
          <w:p>
            <w:pPr>
              <w:spacing w:after="0"/>
            </w:pPr>
            <w:r>
              <w:rPr>
                <w:sz w:val="16"/>
              </w:rPr>
              <w:t>Medium</w:t>
            </w:r>
          </w:p>
        </w:tc>
        <w:tc>
          <w:tcPr>
            <w:tcW w:type="dxa" w:w="5040"/>
            <w:shd w:fill="EAF2F8"/>
            <w:vAlign w:val="center"/>
          </w:tcPr>
          <w:p>
            <w:pPr>
              <w:spacing w:after="0"/>
            </w:pPr>
            <w:r>
              <w:rPr>
                <w:sz w:val="16"/>
              </w:rPr>
              <w:t>Co-design, training and adoption measures</w:t>
            </w:r>
          </w:p>
        </w:tc>
      </w:tr>
      <w:tr>
        <w:tc>
          <w:tcPr>
            <w:tcW w:type="dxa" w:w="648"/>
            <w:vAlign w:val="center"/>
          </w:tcPr>
          <w:p>
            <w:pPr>
              <w:spacing w:after="0"/>
            </w:pPr>
            <w:r>
              <w:rPr>
                <w:sz w:val="16"/>
              </w:rPr>
              <w:t>R9</w:t>
            </w:r>
          </w:p>
        </w:tc>
        <w:tc>
          <w:tcPr>
            <w:tcW w:type="dxa" w:w="2880"/>
            <w:vAlign w:val="center"/>
          </w:tcPr>
          <w:p>
            <w:pPr>
              <w:spacing w:after="0"/>
            </w:pPr>
            <w:r>
              <w:rPr>
                <w:sz w:val="16"/>
              </w:rPr>
              <w:t>API instability</w:t>
            </w:r>
          </w:p>
        </w:tc>
        <w:tc>
          <w:tcPr>
            <w:tcW w:type="dxa" w:w="1080"/>
            <w:vAlign w:val="center"/>
          </w:tcPr>
          <w:p>
            <w:pPr>
              <w:spacing w:after="0"/>
            </w:pPr>
            <w:r>
              <w:rPr>
                <w:sz w:val="16"/>
              </w:rPr>
              <w:t>High</w:t>
            </w:r>
          </w:p>
        </w:tc>
        <w:tc>
          <w:tcPr>
            <w:tcW w:type="dxa" w:w="5040"/>
            <w:vAlign w:val="center"/>
          </w:tcPr>
          <w:p>
            <w:pPr>
              <w:spacing w:after="0"/>
            </w:pPr>
            <w:r>
              <w:rPr>
                <w:sz w:val="16"/>
              </w:rPr>
              <w:t>Health monitoring, retries and degraded state</w:t>
            </w:r>
          </w:p>
        </w:tc>
      </w:tr>
      <w:tr>
        <w:tc>
          <w:tcPr>
            <w:tcW w:type="dxa" w:w="648"/>
            <w:shd w:fill="EAF2F8"/>
            <w:vAlign w:val="center"/>
          </w:tcPr>
          <w:p>
            <w:pPr>
              <w:spacing w:after="0"/>
            </w:pPr>
            <w:r>
              <w:rPr>
                <w:sz w:val="16"/>
              </w:rPr>
              <w:t>R10</w:t>
            </w:r>
          </w:p>
        </w:tc>
        <w:tc>
          <w:tcPr>
            <w:tcW w:type="dxa" w:w="2880"/>
            <w:shd w:fill="EAF2F8"/>
            <w:vAlign w:val="center"/>
          </w:tcPr>
          <w:p>
            <w:pPr>
              <w:spacing w:after="0"/>
            </w:pPr>
            <w:r>
              <w:rPr>
                <w:sz w:val="16"/>
              </w:rPr>
              <w:t>Benefits not attributable</w:t>
            </w:r>
          </w:p>
        </w:tc>
        <w:tc>
          <w:tcPr>
            <w:tcW w:type="dxa" w:w="1080"/>
            <w:shd w:fill="EAF2F8"/>
            <w:vAlign w:val="center"/>
          </w:tcPr>
          <w:p>
            <w:pPr>
              <w:spacing w:after="0"/>
            </w:pPr>
            <w:r>
              <w:rPr>
                <w:sz w:val="16"/>
              </w:rPr>
              <w:t>Medium</w:t>
            </w:r>
          </w:p>
        </w:tc>
        <w:tc>
          <w:tcPr>
            <w:tcW w:type="dxa" w:w="5040"/>
            <w:shd w:fill="EAF2F8"/>
            <w:vAlign w:val="center"/>
          </w:tcPr>
          <w:p>
            <w:pPr>
              <w:spacing w:after="0"/>
            </w:pPr>
            <w:r>
              <w:rPr>
                <w:sz w:val="16"/>
              </w:rPr>
              <w:t>Baseline and agreed attribution</w:t>
            </w:r>
          </w:p>
        </w:tc>
      </w:tr>
      <w:tr>
        <w:tc>
          <w:tcPr>
            <w:tcW w:type="dxa" w:w="648"/>
            <w:vAlign w:val="center"/>
          </w:tcPr>
          <w:p>
            <w:pPr>
              <w:spacing w:after="0"/>
            </w:pPr>
            <w:r>
              <w:rPr>
                <w:sz w:val="16"/>
              </w:rPr>
              <w:t>R11</w:t>
            </w:r>
          </w:p>
        </w:tc>
        <w:tc>
          <w:tcPr>
            <w:tcW w:type="dxa" w:w="2880"/>
            <w:vAlign w:val="center"/>
          </w:tcPr>
          <w:p>
            <w:pPr>
              <w:spacing w:after="0"/>
            </w:pPr>
            <w:r>
              <w:rPr>
                <w:sz w:val="16"/>
              </w:rPr>
              <w:t>Vision false positives</w:t>
            </w:r>
          </w:p>
        </w:tc>
        <w:tc>
          <w:tcPr>
            <w:tcW w:type="dxa" w:w="1080"/>
            <w:vAlign w:val="center"/>
          </w:tcPr>
          <w:p>
            <w:pPr>
              <w:spacing w:after="0"/>
            </w:pPr>
            <w:r>
              <w:rPr>
                <w:sz w:val="16"/>
              </w:rPr>
              <w:t>High</w:t>
            </w:r>
          </w:p>
        </w:tc>
        <w:tc>
          <w:tcPr>
            <w:tcW w:type="dxa" w:w="5040"/>
            <w:vAlign w:val="center"/>
          </w:tcPr>
          <w:p>
            <w:pPr>
              <w:spacing w:after="0"/>
            </w:pPr>
            <w:r>
              <w:rPr>
                <w:sz w:val="16"/>
              </w:rPr>
              <w:t>Optional controlled pilot</w:t>
            </w:r>
          </w:p>
        </w:tc>
      </w:tr>
      <w:tr>
        <w:tc>
          <w:tcPr>
            <w:tcW w:type="dxa" w:w="648"/>
            <w:shd w:fill="EAF2F8"/>
            <w:vAlign w:val="center"/>
          </w:tcPr>
          <w:p>
            <w:pPr>
              <w:spacing w:after="0"/>
            </w:pPr>
            <w:r>
              <w:rPr>
                <w:sz w:val="16"/>
              </w:rPr>
              <w:t>R12</w:t>
            </w:r>
          </w:p>
        </w:tc>
        <w:tc>
          <w:tcPr>
            <w:tcW w:type="dxa" w:w="2880"/>
            <w:shd w:fill="EAF2F8"/>
            <w:vAlign w:val="center"/>
          </w:tcPr>
          <w:p>
            <w:pPr>
              <w:spacing w:after="0"/>
            </w:pPr>
            <w:r>
              <w:rPr>
                <w:sz w:val="16"/>
              </w:rPr>
              <w:t>Scope expansion</w:t>
            </w:r>
          </w:p>
        </w:tc>
        <w:tc>
          <w:tcPr>
            <w:tcW w:type="dxa" w:w="1080"/>
            <w:shd w:fill="EAF2F8"/>
            <w:vAlign w:val="center"/>
          </w:tcPr>
          <w:p>
            <w:pPr>
              <w:spacing w:after="0"/>
            </w:pPr>
            <w:r>
              <w:rPr>
                <w:sz w:val="16"/>
              </w:rPr>
              <w:t>Medium</w:t>
            </w:r>
          </w:p>
        </w:tc>
        <w:tc>
          <w:tcPr>
            <w:tcW w:type="dxa" w:w="5040"/>
            <w:shd w:fill="EAF2F8"/>
            <w:vAlign w:val="center"/>
          </w:tcPr>
          <w:p>
            <w:pPr>
              <w:spacing w:after="0"/>
            </w:pPr>
            <w:r>
              <w:rPr>
                <w:sz w:val="16"/>
              </w:rPr>
              <w:t>Catalogue boundaries and change control</w:t>
            </w:r>
          </w:p>
        </w:tc>
      </w:tr>
    </w:tbl>
    <w:p/>
    <w:p>
      <w:r>
        <w:br w:type="page"/>
      </w:r>
    </w:p>
    <w:p>
      <w:pPr>
        <w:pStyle w:val="Heading1"/>
      </w:pPr>
      <w:r>
        <w:t>16 Assumptions Exclusions and Deviations</w:t>
      </w:r>
    </w:p>
    <w:p>
      <w:r>
        <w:t>The following items prevent hidden scope and unsafe autonomy.</w:t>
      </w:r>
    </w:p>
    <w:p>
      <w:pPr>
        <w:pStyle w:val="Heading2"/>
      </w:pPr>
      <w:r>
        <w:t>Assumptions</w:t>
      </w:r>
    </w:p>
    <w:p>
      <w:pPr>
        <w:pStyle w:val="ListBullet"/>
      </w:pPr>
      <w:r>
        <w:t>Wareed provides SMEs, owners, lawful access, APIs, test environments and timely approvals.</w:t>
      </w:r>
    </w:p>
    <w:p>
      <w:pPr>
        <w:pStyle w:val="ListBullet"/>
      </w:pPr>
      <w:r>
        <w:t>Wareed approves KPI definitions, authority, rosters, templates and retention.</w:t>
      </w:r>
    </w:p>
    <w:p>
      <w:pPr>
        <w:pStyle w:val="ListBullet"/>
      </w:pPr>
      <w:r>
        <w:t>Production hosting, volumes, languages, hours and recovery targets are confirmed in Phase 1.</w:t>
      </w:r>
    </w:p>
    <w:p>
      <w:pPr>
        <w:pStyle w:val="Heading2"/>
      </w:pPr>
      <w:r>
        <w:t>Exclusions</w:t>
      </w:r>
    </w:p>
    <w:p>
      <w:pPr>
        <w:pStyle w:val="ListBullet"/>
      </w:pPr>
      <w:r>
        <w:t>Clinical diagnosis, medical advice and result release.</w:t>
      </w:r>
    </w:p>
    <w:p>
      <w:pPr>
        <w:pStyle w:val="ListBullet"/>
      </w:pPr>
      <w:r>
        <w:t>Autonomous pricing, campaign, HR or privileged-security decisions.</w:t>
      </w:r>
    </w:p>
    <w:p>
      <w:pPr>
        <w:pStyle w:val="ListBullet"/>
      </w:pPr>
      <w:r>
        <w:t>Replacement of systems of record, camera hardware or facial identification.</w:t>
      </w:r>
    </w:p>
    <w:p>
      <w:pPr>
        <w:pStyle w:val="ListBullet"/>
      </w:pPr>
      <w:r>
        <w:t>Physical command room and source-vendor/API charges unless separately priced.</w:t>
      </w:r>
    </w:p>
    <w:p>
      <w:pPr>
        <w:pStyle w:val="Heading2"/>
      </w:pPr>
      <w:r>
        <w:t>Deviations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c>
          <w:tcPr>
            <w:tcW w:type="dxa" w:w="3312"/>
            <w:shd w:fill="17365D"/>
            <w:vAlign w:val="center"/>
          </w:tcPr>
          <w:p>
            <w:r>
              <w:rPr>
                <w:b/>
                <w:color w:val="FFFFFF"/>
                <w:sz w:val="17"/>
              </w:rPr>
              <w:t>Item</w:t>
            </w:r>
          </w:p>
        </w:tc>
        <w:tc>
          <w:tcPr>
            <w:tcW w:type="dxa" w:w="6336"/>
            <w:shd w:fill="17365D"/>
            <w:vAlign w:val="center"/>
          </w:tcPr>
          <w:p>
            <w:r>
              <w:rPr>
                <w:b/>
                <w:color w:val="FFFFFF"/>
                <w:sz w:val="17"/>
              </w:rPr>
              <w:t>Position</w:t>
            </w:r>
          </w:p>
        </w:tc>
      </w:tr>
      <w:tr>
        <w:tc>
          <w:tcPr>
            <w:tcW w:type="dxa" w:w="3312"/>
            <w:vAlign w:val="center"/>
          </w:tcPr>
          <w:p>
            <w:pPr>
              <w:spacing w:after="0"/>
            </w:pPr>
            <w:r>
              <w:rPr>
                <w:sz w:val="16"/>
              </w:rPr>
              <w:t>Sovereign deployment</w:t>
            </w:r>
          </w:p>
        </w:tc>
        <w:tc>
          <w:tcPr>
            <w:tcW w:type="dxa" w:w="6336"/>
            <w:vAlign w:val="center"/>
          </w:tcPr>
          <w:p>
            <w:pPr>
              <w:spacing w:after="0"/>
            </w:pPr>
            <w:r>
              <w:rPr>
                <w:sz w:val="16"/>
              </w:rPr>
              <w:t>Comply, subject to approved topology</w:t>
            </w:r>
          </w:p>
        </w:tc>
      </w:tr>
      <w:tr>
        <w:tc>
          <w:tcPr>
            <w:tcW w:type="dxa" w:w="3312"/>
            <w:shd w:fill="EAF2F8"/>
            <w:vAlign w:val="center"/>
          </w:tcPr>
          <w:p>
            <w:pPr>
              <w:spacing w:after="0"/>
            </w:pPr>
            <w:r>
              <w:rPr>
                <w:sz w:val="16"/>
              </w:rPr>
              <w:t>Agent catalogue</w:t>
            </w:r>
          </w:p>
        </w:tc>
        <w:tc>
          <w:tcPr>
            <w:tcW w:type="dxa" w:w="6336"/>
            <w:shd w:fill="EAF2F8"/>
            <w:vAlign w:val="center"/>
          </w:tcPr>
          <w:p>
            <w:pPr>
              <w:spacing w:after="0"/>
            </w:pPr>
            <w:r>
              <w:rPr>
                <w:sz w:val="16"/>
              </w:rPr>
              <w:t>Phased as requested; S3 optional</w:t>
            </w:r>
          </w:p>
        </w:tc>
      </w:tr>
      <w:tr>
        <w:tc>
          <w:tcPr>
            <w:tcW w:type="dxa" w:w="3312"/>
            <w:vAlign w:val="center"/>
          </w:tcPr>
          <w:p>
            <w:pPr>
              <w:spacing w:after="0"/>
            </w:pPr>
            <w:r>
              <w:rPr>
                <w:sz w:val="16"/>
              </w:rPr>
              <w:t>Schedule</w:t>
            </w:r>
          </w:p>
        </w:tc>
        <w:tc>
          <w:tcPr>
            <w:tcW w:type="dxa" w:w="6336"/>
            <w:vAlign w:val="center"/>
          </w:tcPr>
          <w:p>
            <w:pPr>
              <w:spacing w:after="0"/>
            </w:pPr>
            <w:r>
              <w:rPr>
                <w:sz w:val="16"/>
              </w:rPr>
              <w:t>48 weeks indicative, subject to access</w:t>
            </w:r>
          </w:p>
        </w:tc>
      </w:tr>
      <w:tr>
        <w:tc>
          <w:tcPr>
            <w:tcW w:type="dxa" w:w="3312"/>
            <w:shd w:fill="EAF2F8"/>
            <w:vAlign w:val="center"/>
          </w:tcPr>
          <w:p>
            <w:pPr>
              <w:spacing w:after="0"/>
            </w:pPr>
            <w:r>
              <w:rPr>
                <w:sz w:val="16"/>
              </w:rPr>
              <w:t>Commercials</w:t>
            </w:r>
          </w:p>
        </w:tc>
        <w:tc>
          <w:tcPr>
            <w:tcW w:type="dxa" w:w="6336"/>
            <w:shd w:fill="EAF2F8"/>
            <w:vAlign w:val="center"/>
          </w:tcPr>
          <w:p>
            <w:pPr>
              <w:spacing w:after="0"/>
            </w:pPr>
            <w:r>
              <w:rPr>
                <w:sz w:val="16"/>
              </w:rPr>
              <w:t>Structure complete; figures require bidder input</w:t>
            </w:r>
          </w:p>
        </w:tc>
      </w:tr>
      <w:tr>
        <w:tc>
          <w:tcPr>
            <w:tcW w:type="dxa" w:w="3312"/>
            <w:vAlign w:val="center"/>
          </w:tcPr>
          <w:p>
            <w:pPr>
              <w:spacing w:after="0"/>
            </w:pPr>
            <w:r>
              <w:rPr>
                <w:sz w:val="16"/>
              </w:rPr>
              <w:t>Credentials and local capability</w:t>
            </w:r>
          </w:p>
        </w:tc>
        <w:tc>
          <w:tcPr>
            <w:tcW w:type="dxa" w:w="6336"/>
            <w:vAlign w:val="center"/>
          </w:tcPr>
          <w:p>
            <w:pPr>
              <w:spacing w:after="0"/>
            </w:pPr>
            <w:r>
              <w:rPr>
                <w:sz w:val="16"/>
              </w:rPr>
              <w:t>Final evidence required</w:t>
            </w:r>
          </w:p>
        </w:tc>
      </w:tr>
    </w:tbl>
    <w:p/>
    <w:p>
      <w:r>
        <w:br w:type="page"/>
      </w:r>
    </w:p>
    <w:p>
      <w:pPr>
        <w:pStyle w:val="Heading1"/>
      </w:pPr>
      <w:r>
        <w:t>17 Intellectual Property Data and Portability</w:t>
      </w:r>
    </w:p>
    <w:p>
      <w:r>
        <w:t>Wareed retains ownership of its data. The final contract will define ownership and use rights for derived assets, custom code and pre-existing intellectual property.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c>
          <w:tcPr>
            <w:tcW w:type="dxa" w:w="3816"/>
            <w:shd w:fill="17365D"/>
            <w:vAlign w:val="center"/>
          </w:tcPr>
          <w:p>
            <w:r>
              <w:rPr>
                <w:b/>
                <w:color w:val="FFFFFF"/>
                <w:sz w:val="17"/>
              </w:rPr>
              <w:t>Asset</w:t>
            </w:r>
          </w:p>
        </w:tc>
        <w:tc>
          <w:tcPr>
            <w:tcW w:type="dxa" w:w="5832"/>
            <w:shd w:fill="17365D"/>
            <w:vAlign w:val="center"/>
          </w:tcPr>
          <w:p>
            <w:r>
              <w:rPr>
                <w:b/>
                <w:color w:val="FFFFFF"/>
                <w:sz w:val="17"/>
              </w:rPr>
              <w:t>Position</w:t>
            </w:r>
          </w:p>
        </w:tc>
      </w:tr>
      <w:tr>
        <w:tc>
          <w:tcPr>
            <w:tcW w:type="dxa" w:w="3816"/>
            <w:vAlign w:val="center"/>
          </w:tcPr>
          <w:p>
            <w:pPr>
              <w:spacing w:after="0"/>
            </w:pPr>
            <w:r>
              <w:rPr>
                <w:sz w:val="16"/>
              </w:rPr>
              <w:t>Wareed source and derived operational data</w:t>
            </w:r>
          </w:p>
        </w:tc>
        <w:tc>
          <w:tcPr>
            <w:tcW w:type="dxa" w:w="5832"/>
            <w:vAlign w:val="center"/>
          </w:tcPr>
          <w:p>
            <w:pPr>
              <w:spacing w:after="0"/>
            </w:pPr>
            <w:r>
              <w:rPr>
                <w:sz w:val="16"/>
              </w:rPr>
              <w:t>Wareed owned</w:t>
            </w:r>
          </w:p>
        </w:tc>
      </w:tr>
      <w:tr>
        <w:tc>
          <w:tcPr>
            <w:tcW w:type="dxa" w:w="3816"/>
            <w:shd w:fill="EAF2F8"/>
            <w:vAlign w:val="center"/>
          </w:tcPr>
          <w:p>
            <w:pPr>
              <w:spacing w:after="0"/>
            </w:pPr>
            <w:r>
              <w:rPr>
                <w:sz w:val="16"/>
              </w:rPr>
              <w:t>Prompts, policies, playbooks, evaluations and configurations</w:t>
            </w:r>
          </w:p>
        </w:tc>
        <w:tc>
          <w:tcPr>
            <w:tcW w:type="dxa" w:w="5832"/>
            <w:shd w:fill="EAF2F8"/>
            <w:vAlign w:val="center"/>
          </w:tcPr>
          <w:p>
            <w:pPr>
              <w:spacing w:after="0"/>
            </w:pPr>
            <w:r>
              <w:rPr>
                <w:sz w:val="16"/>
              </w:rPr>
              <w:t>Wareed ownership or perpetual transferable rights; exportable</w:t>
            </w:r>
          </w:p>
        </w:tc>
      </w:tr>
      <w:tr>
        <w:tc>
          <w:tcPr>
            <w:tcW w:type="dxa" w:w="3816"/>
            <w:vAlign w:val="center"/>
          </w:tcPr>
          <w:p>
            <w:pPr>
              <w:spacing w:after="0"/>
            </w:pPr>
            <w:r>
              <w:rPr>
                <w:sz w:val="16"/>
              </w:rPr>
              <w:t>Traces, embeddings and audit evidence</w:t>
            </w:r>
          </w:p>
        </w:tc>
        <w:tc>
          <w:tcPr>
            <w:tcW w:type="dxa" w:w="5832"/>
            <w:vAlign w:val="center"/>
          </w:tcPr>
          <w:p>
            <w:pPr>
              <w:spacing w:after="0"/>
            </w:pPr>
            <w:r>
              <w:rPr>
                <w:sz w:val="16"/>
              </w:rPr>
              <w:t>Wareed controlled and exportable under retention policy</w:t>
            </w:r>
          </w:p>
        </w:tc>
      </w:tr>
      <w:tr>
        <w:tc>
          <w:tcPr>
            <w:tcW w:type="dxa" w:w="3816"/>
            <w:shd w:fill="EAF2F8"/>
            <w:vAlign w:val="center"/>
          </w:tcPr>
          <w:p>
            <w:pPr>
              <w:spacing w:after="0"/>
            </w:pPr>
            <w:r>
              <w:rPr>
                <w:sz w:val="16"/>
              </w:rPr>
              <w:t>NeoLimits pre-existing assets</w:t>
            </w:r>
          </w:p>
        </w:tc>
        <w:tc>
          <w:tcPr>
            <w:tcW w:type="dxa" w:w="5832"/>
            <w:shd w:fill="EAF2F8"/>
            <w:vAlign w:val="center"/>
          </w:tcPr>
          <w:p>
            <w:pPr>
              <w:spacing w:after="0"/>
            </w:pPr>
            <w:r>
              <w:rPr>
                <w:sz w:val="16"/>
              </w:rPr>
              <w:t>Remain NeoLimits property with contracted Wareed use rights</w:t>
            </w:r>
          </w:p>
        </w:tc>
      </w:tr>
      <w:tr>
        <w:tc>
          <w:tcPr>
            <w:tcW w:type="dxa" w:w="3816"/>
            <w:vAlign w:val="center"/>
          </w:tcPr>
          <w:p>
            <w:pPr>
              <w:spacing w:after="0"/>
            </w:pPr>
            <w:r>
              <w:rPr>
                <w:sz w:val="16"/>
              </w:rPr>
              <w:t>Third-party models/software</w:t>
            </w:r>
          </w:p>
        </w:tc>
        <w:tc>
          <w:tcPr>
            <w:tcW w:type="dxa" w:w="5832"/>
            <w:vAlign w:val="center"/>
          </w:tcPr>
          <w:p>
            <w:pPr>
              <w:spacing w:after="0"/>
            </w:pPr>
            <w:r>
              <w:rPr>
                <w:sz w:val="16"/>
              </w:rPr>
              <w:t>Disclosed terms and dependencies</w:t>
            </w:r>
          </w:p>
        </w:tc>
      </w:tr>
      <w:tr>
        <w:tc>
          <w:tcPr>
            <w:tcW w:type="dxa" w:w="3816"/>
            <w:shd w:fill="EAF2F8"/>
            <w:vAlign w:val="center"/>
          </w:tcPr>
          <w:p>
            <w:pPr>
              <w:spacing w:after="0"/>
            </w:pPr>
            <w:r>
              <w:rPr>
                <w:sz w:val="16"/>
              </w:rPr>
              <w:t>Custom integration code</w:t>
            </w:r>
          </w:p>
        </w:tc>
        <w:tc>
          <w:tcPr>
            <w:tcW w:type="dxa" w:w="5832"/>
            <w:shd w:fill="EAF2F8"/>
            <w:vAlign w:val="center"/>
          </w:tcPr>
          <w:p>
            <w:pPr>
              <w:spacing w:after="0"/>
            </w:pPr>
            <w:r>
              <w:rPr>
                <w:sz w:val="16"/>
              </w:rPr>
              <w:t>Ownership or perpetual license to agree</w:t>
            </w:r>
          </w:p>
        </w:tc>
      </w:tr>
      <w:tr>
        <w:tc>
          <w:tcPr>
            <w:tcW w:type="dxa" w:w="3816"/>
            <w:vAlign w:val="center"/>
          </w:tcPr>
          <w:p>
            <w:pPr>
              <w:spacing w:after="0"/>
            </w:pPr>
            <w:r>
              <w:rPr>
                <w:sz w:val="16"/>
              </w:rPr>
              <w:t>Exit</w:t>
            </w:r>
          </w:p>
        </w:tc>
        <w:tc>
          <w:tcPr>
            <w:tcW w:type="dxa" w:w="5832"/>
            <w:vAlign w:val="center"/>
          </w:tcPr>
          <w:p>
            <w:pPr>
              <w:spacing w:after="0"/>
            </w:pPr>
            <w:r>
              <w:rPr>
                <w:sz w:val="16"/>
              </w:rPr>
              <w:t>Documented exports and transparent transition assistance</w:t>
            </w:r>
          </w:p>
        </w:tc>
      </w:tr>
    </w:tbl>
    <w:p/>
    <w:p>
      <w:r>
        <w:br w:type="page"/>
      </w:r>
    </w:p>
    <w:p>
      <w:pPr>
        <w:pStyle w:val="Heading1"/>
      </w:pPr>
      <w:r>
        <w:t>Appendix A Compliance Matrix</w:t>
      </w:r>
    </w:p>
    <w:p>
      <w:r>
        <w:t>All twenty requested response topics are addressed.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c>
          <w:tcPr>
            <w:tcW w:type="dxa" w:w="648"/>
            <w:shd w:fill="17365D"/>
            <w:vAlign w:val="center"/>
          </w:tcPr>
          <w:p>
            <w:r>
              <w:rPr>
                <w:b/>
                <w:color w:val="FFFFFF"/>
                <w:sz w:val="17"/>
              </w:rPr>
              <w:t>No</w:t>
            </w:r>
          </w:p>
        </w:tc>
        <w:tc>
          <w:tcPr>
            <w:tcW w:type="dxa" w:w="5328"/>
            <w:shd w:fill="17365D"/>
            <w:vAlign w:val="center"/>
          </w:tcPr>
          <w:p>
            <w:r>
              <w:rPr>
                <w:b/>
                <w:color w:val="FFFFFF"/>
                <w:sz w:val="17"/>
              </w:rPr>
              <w:t>Requirement</w:t>
            </w:r>
          </w:p>
        </w:tc>
        <w:tc>
          <w:tcPr>
            <w:tcW w:type="dxa" w:w="3672"/>
            <w:shd w:fill="17365D"/>
            <w:vAlign w:val="center"/>
          </w:tcPr>
          <w:p>
            <w:r>
              <w:rPr>
                <w:b/>
                <w:color w:val="FFFFFF"/>
                <w:sz w:val="17"/>
              </w:rPr>
              <w:t>Location</w:t>
            </w:r>
          </w:p>
        </w:tc>
      </w:tr>
      <w:tr>
        <w:tc>
          <w:tcPr>
            <w:tcW w:type="dxa" w:w="648"/>
            <w:vAlign w:val="center"/>
          </w:tcPr>
          <w:p>
            <w:pPr>
              <w:spacing w:after="0"/>
            </w:pPr>
            <w:r>
              <w:rPr>
                <w:sz w:val="16"/>
              </w:rPr>
              <w:t>1</w:t>
            </w:r>
          </w:p>
        </w:tc>
        <w:tc>
          <w:tcPr>
            <w:tcW w:type="dxa" w:w="5328"/>
            <w:vAlign w:val="center"/>
          </w:tcPr>
          <w:p>
            <w:pPr>
              <w:spacing w:after="0"/>
            </w:pPr>
            <w:r>
              <w:rPr>
                <w:sz w:val="16"/>
              </w:rPr>
              <w:t>Executive proposal</w:t>
            </w:r>
          </w:p>
        </w:tc>
        <w:tc>
          <w:tcPr>
            <w:tcW w:type="dxa" w:w="3672"/>
            <w:vAlign w:val="center"/>
          </w:tcPr>
          <w:p>
            <w:pPr>
              <w:spacing w:after="0"/>
            </w:pPr>
            <w:r>
              <w:rPr>
                <w:sz w:val="16"/>
              </w:rPr>
              <w:t>Section 1</w:t>
            </w:r>
          </w:p>
        </w:tc>
      </w:tr>
      <w:tr>
        <w:tc>
          <w:tcPr>
            <w:tcW w:type="dxa" w:w="648"/>
            <w:shd w:fill="EAF2F8"/>
            <w:vAlign w:val="center"/>
          </w:tcPr>
          <w:p>
            <w:pPr>
              <w:spacing w:after="0"/>
            </w:pPr>
            <w:r>
              <w:rPr>
                <w:sz w:val="16"/>
              </w:rPr>
              <w:t>2</w:t>
            </w:r>
          </w:p>
        </w:tc>
        <w:tc>
          <w:tcPr>
            <w:tcW w:type="dxa" w:w="5328"/>
            <w:shd w:fill="EAF2F8"/>
            <w:vAlign w:val="center"/>
          </w:tcPr>
          <w:p>
            <w:pPr>
              <w:spacing w:after="0"/>
            </w:pPr>
            <w:r>
              <w:rPr>
                <w:sz w:val="16"/>
              </w:rPr>
              <w:t>Operating model and catalogue</w:t>
            </w:r>
          </w:p>
        </w:tc>
        <w:tc>
          <w:tcPr>
            <w:tcW w:type="dxa" w:w="3672"/>
            <w:shd w:fill="EAF2F8"/>
            <w:vAlign w:val="center"/>
          </w:tcPr>
          <w:p>
            <w:pPr>
              <w:spacing w:after="0"/>
            </w:pPr>
            <w:r>
              <w:rPr>
                <w:sz w:val="16"/>
              </w:rPr>
              <w:t>Section 2</w:t>
            </w:r>
          </w:p>
        </w:tc>
      </w:tr>
      <w:tr>
        <w:tc>
          <w:tcPr>
            <w:tcW w:type="dxa" w:w="648"/>
            <w:vAlign w:val="center"/>
          </w:tcPr>
          <w:p>
            <w:pPr>
              <w:spacing w:after="0"/>
            </w:pPr>
            <w:r>
              <w:rPr>
                <w:sz w:val="16"/>
              </w:rPr>
              <w:t>3</w:t>
            </w:r>
          </w:p>
        </w:tc>
        <w:tc>
          <w:tcPr>
            <w:tcW w:type="dxa" w:w="5328"/>
            <w:vAlign w:val="center"/>
          </w:tcPr>
          <w:p>
            <w:pPr>
              <w:spacing w:after="0"/>
            </w:pPr>
            <w:r>
              <w:rPr>
                <w:sz w:val="16"/>
              </w:rPr>
              <w:t>Sovereign hosting</w:t>
            </w:r>
          </w:p>
        </w:tc>
        <w:tc>
          <w:tcPr>
            <w:tcW w:type="dxa" w:w="3672"/>
            <w:vAlign w:val="center"/>
          </w:tcPr>
          <w:p>
            <w:pPr>
              <w:spacing w:after="0"/>
            </w:pPr>
            <w:r>
              <w:rPr>
                <w:sz w:val="16"/>
              </w:rPr>
              <w:t>Section 3</w:t>
            </w:r>
          </w:p>
        </w:tc>
      </w:tr>
      <w:tr>
        <w:tc>
          <w:tcPr>
            <w:tcW w:type="dxa" w:w="648"/>
            <w:shd w:fill="EAF2F8"/>
            <w:vAlign w:val="center"/>
          </w:tcPr>
          <w:p>
            <w:pPr>
              <w:spacing w:after="0"/>
            </w:pPr>
            <w:r>
              <w:rPr>
                <w:sz w:val="16"/>
              </w:rPr>
              <w:t>4</w:t>
            </w:r>
          </w:p>
        </w:tc>
        <w:tc>
          <w:tcPr>
            <w:tcW w:type="dxa" w:w="5328"/>
            <w:shd w:fill="EAF2F8"/>
            <w:vAlign w:val="center"/>
          </w:tcPr>
          <w:p>
            <w:pPr>
              <w:spacing w:after="0"/>
            </w:pPr>
            <w:r>
              <w:rPr>
                <w:sz w:val="16"/>
              </w:rPr>
              <w:t>Solution architecture</w:t>
            </w:r>
          </w:p>
        </w:tc>
        <w:tc>
          <w:tcPr>
            <w:tcW w:type="dxa" w:w="3672"/>
            <w:shd w:fill="EAF2F8"/>
            <w:vAlign w:val="center"/>
          </w:tcPr>
          <w:p>
            <w:pPr>
              <w:spacing w:after="0"/>
            </w:pPr>
            <w:r>
              <w:rPr>
                <w:sz w:val="16"/>
              </w:rPr>
              <w:t>Section 3</w:t>
            </w:r>
          </w:p>
        </w:tc>
      </w:tr>
      <w:tr>
        <w:tc>
          <w:tcPr>
            <w:tcW w:type="dxa" w:w="648"/>
            <w:vAlign w:val="center"/>
          </w:tcPr>
          <w:p>
            <w:pPr>
              <w:spacing w:after="0"/>
            </w:pPr>
            <w:r>
              <w:rPr>
                <w:sz w:val="16"/>
              </w:rPr>
              <w:t>5</w:t>
            </w:r>
          </w:p>
        </w:tc>
        <w:tc>
          <w:tcPr>
            <w:tcW w:type="dxa" w:w="5328"/>
            <w:vAlign w:val="center"/>
          </w:tcPr>
          <w:p>
            <w:pPr>
              <w:spacing w:after="0"/>
            </w:pPr>
            <w:r>
              <w:rPr>
                <w:sz w:val="16"/>
              </w:rPr>
              <w:t>Integration and responsibility</w:t>
            </w:r>
          </w:p>
        </w:tc>
        <w:tc>
          <w:tcPr>
            <w:tcW w:type="dxa" w:w="3672"/>
            <w:vAlign w:val="center"/>
          </w:tcPr>
          <w:p>
            <w:pPr>
              <w:spacing w:after="0"/>
            </w:pPr>
            <w:r>
              <w:rPr>
                <w:sz w:val="16"/>
              </w:rPr>
              <w:t>Section 4</w:t>
            </w:r>
          </w:p>
        </w:tc>
      </w:tr>
      <w:tr>
        <w:tc>
          <w:tcPr>
            <w:tcW w:type="dxa" w:w="648"/>
            <w:shd w:fill="EAF2F8"/>
            <w:vAlign w:val="center"/>
          </w:tcPr>
          <w:p>
            <w:pPr>
              <w:spacing w:after="0"/>
            </w:pPr>
            <w:r>
              <w:rPr>
                <w:sz w:val="16"/>
              </w:rPr>
              <w:t>6</w:t>
            </w:r>
          </w:p>
        </w:tc>
        <w:tc>
          <w:tcPr>
            <w:tcW w:type="dxa" w:w="5328"/>
            <w:shd w:fill="EAF2F8"/>
            <w:vAlign w:val="center"/>
          </w:tcPr>
          <w:p>
            <w:pPr>
              <w:spacing w:after="0"/>
            </w:pPr>
            <w:r>
              <w:rPr>
                <w:sz w:val="16"/>
              </w:rPr>
              <w:t>Data governance and quality</w:t>
            </w:r>
          </w:p>
        </w:tc>
        <w:tc>
          <w:tcPr>
            <w:tcW w:type="dxa" w:w="3672"/>
            <w:shd w:fill="EAF2F8"/>
            <w:vAlign w:val="center"/>
          </w:tcPr>
          <w:p>
            <w:pPr>
              <w:spacing w:after="0"/>
            </w:pPr>
            <w:r>
              <w:rPr>
                <w:sz w:val="16"/>
              </w:rPr>
              <w:t>Section 5</w:t>
            </w:r>
          </w:p>
        </w:tc>
      </w:tr>
      <w:tr>
        <w:tc>
          <w:tcPr>
            <w:tcW w:type="dxa" w:w="648"/>
            <w:vAlign w:val="center"/>
          </w:tcPr>
          <w:p>
            <w:pPr>
              <w:spacing w:after="0"/>
            </w:pPr>
            <w:r>
              <w:rPr>
                <w:sz w:val="16"/>
              </w:rPr>
              <w:t>7</w:t>
            </w:r>
          </w:p>
        </w:tc>
        <w:tc>
          <w:tcPr>
            <w:tcW w:type="dxa" w:w="5328"/>
            <w:vAlign w:val="center"/>
          </w:tcPr>
          <w:p>
            <w:pPr>
              <w:spacing w:after="0"/>
            </w:pPr>
            <w:r>
              <w:rPr>
                <w:sz w:val="16"/>
              </w:rPr>
              <w:t>Control plane and approval</w:t>
            </w:r>
          </w:p>
        </w:tc>
        <w:tc>
          <w:tcPr>
            <w:tcW w:type="dxa" w:w="3672"/>
            <w:vAlign w:val="center"/>
          </w:tcPr>
          <w:p>
            <w:pPr>
              <w:spacing w:after="0"/>
            </w:pPr>
            <w:r>
              <w:rPr>
                <w:sz w:val="16"/>
              </w:rPr>
              <w:t>Section 6</w:t>
            </w:r>
          </w:p>
        </w:tc>
      </w:tr>
      <w:tr>
        <w:tc>
          <w:tcPr>
            <w:tcW w:type="dxa" w:w="648"/>
            <w:shd w:fill="EAF2F8"/>
            <w:vAlign w:val="center"/>
          </w:tcPr>
          <w:p>
            <w:pPr>
              <w:spacing w:after="0"/>
            </w:pPr>
            <w:r>
              <w:rPr>
                <w:sz w:val="16"/>
              </w:rPr>
              <w:t>8</w:t>
            </w:r>
          </w:p>
        </w:tc>
        <w:tc>
          <w:tcPr>
            <w:tcW w:type="dxa" w:w="5328"/>
            <w:shd w:fill="EAF2F8"/>
            <w:vAlign w:val="center"/>
          </w:tcPr>
          <w:p>
            <w:pPr>
              <w:spacing w:after="0"/>
            </w:pPr>
            <w:r>
              <w:rPr>
                <w:sz w:val="16"/>
              </w:rPr>
              <w:t>Detailed agent roles</w:t>
            </w:r>
          </w:p>
        </w:tc>
        <w:tc>
          <w:tcPr>
            <w:tcW w:type="dxa" w:w="3672"/>
            <w:shd w:fill="EAF2F8"/>
            <w:vAlign w:val="center"/>
          </w:tcPr>
          <w:p>
            <w:pPr>
              <w:spacing w:after="0"/>
            </w:pPr>
            <w:r>
              <w:rPr>
                <w:sz w:val="16"/>
              </w:rPr>
              <w:t>Section 2; detailed in Phase 1</w:t>
            </w:r>
          </w:p>
        </w:tc>
      </w:tr>
      <w:tr>
        <w:tc>
          <w:tcPr>
            <w:tcW w:type="dxa" w:w="648"/>
            <w:vAlign w:val="center"/>
          </w:tcPr>
          <w:p>
            <w:pPr>
              <w:spacing w:after="0"/>
            </w:pPr>
            <w:r>
              <w:rPr>
                <w:sz w:val="16"/>
              </w:rPr>
              <w:t>9</w:t>
            </w:r>
          </w:p>
        </w:tc>
        <w:tc>
          <w:tcPr>
            <w:tcW w:type="dxa" w:w="5328"/>
            <w:vAlign w:val="center"/>
          </w:tcPr>
          <w:p>
            <w:pPr>
              <w:spacing w:after="0"/>
            </w:pPr>
            <w:r>
              <w:rPr>
                <w:sz w:val="16"/>
              </w:rPr>
              <w:t>Executive experience</w:t>
            </w:r>
          </w:p>
        </w:tc>
        <w:tc>
          <w:tcPr>
            <w:tcW w:type="dxa" w:w="3672"/>
            <w:vAlign w:val="center"/>
          </w:tcPr>
          <w:p>
            <w:pPr>
              <w:spacing w:after="0"/>
            </w:pPr>
            <w:r>
              <w:rPr>
                <w:sz w:val="16"/>
              </w:rPr>
              <w:t>Section 7</w:t>
            </w:r>
          </w:p>
        </w:tc>
      </w:tr>
      <w:tr>
        <w:tc>
          <w:tcPr>
            <w:tcW w:type="dxa" w:w="648"/>
            <w:shd w:fill="EAF2F8"/>
            <w:vAlign w:val="center"/>
          </w:tcPr>
          <w:p>
            <w:pPr>
              <w:spacing w:after="0"/>
            </w:pPr>
            <w:r>
              <w:rPr>
                <w:sz w:val="16"/>
              </w:rPr>
              <w:t>10</w:t>
            </w:r>
          </w:p>
        </w:tc>
        <w:tc>
          <w:tcPr>
            <w:tcW w:type="dxa" w:w="5328"/>
            <w:shd w:fill="EAF2F8"/>
            <w:vAlign w:val="center"/>
          </w:tcPr>
          <w:p>
            <w:pPr>
              <w:spacing w:after="0"/>
            </w:pPr>
            <w:r>
              <w:rPr>
                <w:sz w:val="16"/>
              </w:rPr>
              <w:t>Corrective action workflow</w:t>
            </w:r>
          </w:p>
        </w:tc>
        <w:tc>
          <w:tcPr>
            <w:tcW w:type="dxa" w:w="3672"/>
            <w:shd w:fill="EAF2F8"/>
            <w:vAlign w:val="center"/>
          </w:tcPr>
          <w:p>
            <w:pPr>
              <w:spacing w:after="0"/>
            </w:pPr>
            <w:r>
              <w:rPr>
                <w:sz w:val="16"/>
              </w:rPr>
              <w:t>Section 7</w:t>
            </w:r>
          </w:p>
        </w:tc>
      </w:tr>
      <w:tr>
        <w:tc>
          <w:tcPr>
            <w:tcW w:type="dxa" w:w="648"/>
            <w:vAlign w:val="center"/>
          </w:tcPr>
          <w:p>
            <w:pPr>
              <w:spacing w:after="0"/>
            </w:pPr>
            <w:r>
              <w:rPr>
                <w:sz w:val="16"/>
              </w:rPr>
              <w:t>11</w:t>
            </w:r>
          </w:p>
        </w:tc>
        <w:tc>
          <w:tcPr>
            <w:tcW w:type="dxa" w:w="5328"/>
            <w:vAlign w:val="center"/>
          </w:tcPr>
          <w:p>
            <w:pPr>
              <w:spacing w:after="0"/>
            </w:pPr>
            <w:r>
              <w:rPr>
                <w:sz w:val="16"/>
              </w:rPr>
              <w:t>Cybersecurity and privacy</w:t>
            </w:r>
          </w:p>
        </w:tc>
        <w:tc>
          <w:tcPr>
            <w:tcW w:type="dxa" w:w="3672"/>
            <w:vAlign w:val="center"/>
          </w:tcPr>
          <w:p>
            <w:pPr>
              <w:spacing w:after="0"/>
            </w:pPr>
            <w:r>
              <w:rPr>
                <w:sz w:val="16"/>
              </w:rPr>
              <w:t>Section 8</w:t>
            </w:r>
          </w:p>
        </w:tc>
      </w:tr>
      <w:tr>
        <w:tc>
          <w:tcPr>
            <w:tcW w:type="dxa" w:w="648"/>
            <w:shd w:fill="EAF2F8"/>
            <w:vAlign w:val="center"/>
          </w:tcPr>
          <w:p>
            <w:pPr>
              <w:spacing w:after="0"/>
            </w:pPr>
            <w:r>
              <w:rPr>
                <w:sz w:val="16"/>
              </w:rPr>
              <w:t>12</w:t>
            </w:r>
          </w:p>
        </w:tc>
        <w:tc>
          <w:tcPr>
            <w:tcW w:type="dxa" w:w="5328"/>
            <w:shd w:fill="EAF2F8"/>
            <w:vAlign w:val="center"/>
          </w:tcPr>
          <w:p>
            <w:pPr>
              <w:spacing w:after="0"/>
            </w:pPr>
            <w:r>
              <w:rPr>
                <w:sz w:val="16"/>
              </w:rPr>
              <w:t>POC</w:t>
            </w:r>
          </w:p>
        </w:tc>
        <w:tc>
          <w:tcPr>
            <w:tcW w:type="dxa" w:w="3672"/>
            <w:shd w:fill="EAF2F8"/>
            <w:vAlign w:val="center"/>
          </w:tcPr>
          <w:p>
            <w:pPr>
              <w:spacing w:after="0"/>
            </w:pPr>
            <w:r>
              <w:rPr>
                <w:sz w:val="16"/>
              </w:rPr>
              <w:t>Section 9</w:t>
            </w:r>
          </w:p>
        </w:tc>
      </w:tr>
      <w:tr>
        <w:tc>
          <w:tcPr>
            <w:tcW w:type="dxa" w:w="648"/>
            <w:vAlign w:val="center"/>
          </w:tcPr>
          <w:p>
            <w:pPr>
              <w:spacing w:after="0"/>
            </w:pPr>
            <w:r>
              <w:rPr>
                <w:sz w:val="16"/>
              </w:rPr>
              <w:t>13</w:t>
            </w:r>
          </w:p>
        </w:tc>
        <w:tc>
          <w:tcPr>
            <w:tcW w:type="dxa" w:w="5328"/>
            <w:vAlign w:val="center"/>
          </w:tcPr>
          <w:p>
            <w:pPr>
              <w:spacing w:after="0"/>
            </w:pPr>
            <w:r>
              <w:rPr>
                <w:sz w:val="16"/>
              </w:rPr>
              <w:t>Schedule</w:t>
            </w:r>
          </w:p>
        </w:tc>
        <w:tc>
          <w:tcPr>
            <w:tcW w:type="dxa" w:w="3672"/>
            <w:vAlign w:val="center"/>
          </w:tcPr>
          <w:p>
            <w:pPr>
              <w:spacing w:after="0"/>
            </w:pPr>
            <w:r>
              <w:rPr>
                <w:sz w:val="16"/>
              </w:rPr>
              <w:t>Section 10</w:t>
            </w:r>
          </w:p>
        </w:tc>
      </w:tr>
      <w:tr>
        <w:tc>
          <w:tcPr>
            <w:tcW w:type="dxa" w:w="648"/>
            <w:shd w:fill="EAF2F8"/>
            <w:vAlign w:val="center"/>
          </w:tcPr>
          <w:p>
            <w:pPr>
              <w:spacing w:after="0"/>
            </w:pPr>
            <w:r>
              <w:rPr>
                <w:sz w:val="16"/>
              </w:rPr>
              <w:t>14</w:t>
            </w:r>
          </w:p>
        </w:tc>
        <w:tc>
          <w:tcPr>
            <w:tcW w:type="dxa" w:w="5328"/>
            <w:shd w:fill="EAF2F8"/>
            <w:vAlign w:val="center"/>
          </w:tcPr>
          <w:p>
            <w:pPr>
              <w:spacing w:after="0"/>
            </w:pPr>
            <w:r>
              <w:rPr>
                <w:sz w:val="16"/>
              </w:rPr>
              <w:t>Testing and acceptance</w:t>
            </w:r>
          </w:p>
        </w:tc>
        <w:tc>
          <w:tcPr>
            <w:tcW w:type="dxa" w:w="3672"/>
            <w:shd w:fill="EAF2F8"/>
            <w:vAlign w:val="center"/>
          </w:tcPr>
          <w:p>
            <w:pPr>
              <w:spacing w:after="0"/>
            </w:pPr>
            <w:r>
              <w:rPr>
                <w:sz w:val="16"/>
              </w:rPr>
              <w:t>Section 11</w:t>
            </w:r>
          </w:p>
        </w:tc>
      </w:tr>
      <w:tr>
        <w:tc>
          <w:tcPr>
            <w:tcW w:type="dxa" w:w="648"/>
            <w:vAlign w:val="center"/>
          </w:tcPr>
          <w:p>
            <w:pPr>
              <w:spacing w:after="0"/>
            </w:pPr>
            <w:r>
              <w:rPr>
                <w:sz w:val="16"/>
              </w:rPr>
              <w:t>15</w:t>
            </w:r>
          </w:p>
        </w:tc>
        <w:tc>
          <w:tcPr>
            <w:tcW w:type="dxa" w:w="5328"/>
            <w:vAlign w:val="center"/>
          </w:tcPr>
          <w:p>
            <w:pPr>
              <w:spacing w:after="0"/>
            </w:pPr>
            <w:r>
              <w:rPr>
                <w:sz w:val="16"/>
              </w:rPr>
              <w:t>Training and change</w:t>
            </w:r>
          </w:p>
        </w:tc>
        <w:tc>
          <w:tcPr>
            <w:tcW w:type="dxa" w:w="3672"/>
            <w:vAlign w:val="center"/>
          </w:tcPr>
          <w:p>
            <w:pPr>
              <w:spacing w:after="0"/>
            </w:pPr>
            <w:r>
              <w:rPr>
                <w:sz w:val="16"/>
              </w:rPr>
              <w:t>Section 12</w:t>
            </w:r>
          </w:p>
        </w:tc>
      </w:tr>
      <w:tr>
        <w:tc>
          <w:tcPr>
            <w:tcW w:type="dxa" w:w="648"/>
            <w:shd w:fill="EAF2F8"/>
            <w:vAlign w:val="center"/>
          </w:tcPr>
          <w:p>
            <w:pPr>
              <w:spacing w:after="0"/>
            </w:pPr>
            <w:r>
              <w:rPr>
                <w:sz w:val="16"/>
              </w:rPr>
              <w:t>16</w:t>
            </w:r>
          </w:p>
        </w:tc>
        <w:tc>
          <w:tcPr>
            <w:tcW w:type="dxa" w:w="5328"/>
            <w:shd w:fill="EAF2F8"/>
            <w:vAlign w:val="center"/>
          </w:tcPr>
          <w:p>
            <w:pPr>
              <w:spacing w:after="0"/>
            </w:pPr>
            <w:r>
              <w:rPr>
                <w:sz w:val="16"/>
              </w:rPr>
              <w:t>Support and SLA</w:t>
            </w:r>
          </w:p>
        </w:tc>
        <w:tc>
          <w:tcPr>
            <w:tcW w:type="dxa" w:w="3672"/>
            <w:shd w:fill="EAF2F8"/>
            <w:vAlign w:val="center"/>
          </w:tcPr>
          <w:p>
            <w:pPr>
              <w:spacing w:after="0"/>
            </w:pPr>
            <w:r>
              <w:rPr>
                <w:sz w:val="16"/>
              </w:rPr>
              <w:t>Section 13</w:t>
            </w:r>
          </w:p>
        </w:tc>
      </w:tr>
      <w:tr>
        <w:tc>
          <w:tcPr>
            <w:tcW w:type="dxa" w:w="648"/>
            <w:vAlign w:val="center"/>
          </w:tcPr>
          <w:p>
            <w:pPr>
              <w:spacing w:after="0"/>
            </w:pPr>
            <w:r>
              <w:rPr>
                <w:sz w:val="16"/>
              </w:rPr>
              <w:t>17</w:t>
            </w:r>
          </w:p>
        </w:tc>
        <w:tc>
          <w:tcPr>
            <w:tcW w:type="dxa" w:w="5328"/>
            <w:vAlign w:val="center"/>
          </w:tcPr>
          <w:p>
            <w:pPr>
              <w:spacing w:after="0"/>
            </w:pPr>
            <w:r>
              <w:rPr>
                <w:sz w:val="16"/>
              </w:rPr>
              <w:t>Commercials</w:t>
            </w:r>
          </w:p>
        </w:tc>
        <w:tc>
          <w:tcPr>
            <w:tcW w:type="dxa" w:w="3672"/>
            <w:vAlign w:val="center"/>
          </w:tcPr>
          <w:p>
            <w:pPr>
              <w:spacing w:after="0"/>
            </w:pPr>
            <w:r>
              <w:rPr>
                <w:sz w:val="16"/>
              </w:rPr>
              <w:t>Section 14; prices to confirm</w:t>
            </w:r>
          </w:p>
        </w:tc>
      </w:tr>
      <w:tr>
        <w:tc>
          <w:tcPr>
            <w:tcW w:type="dxa" w:w="648"/>
            <w:shd w:fill="EAF2F8"/>
            <w:vAlign w:val="center"/>
          </w:tcPr>
          <w:p>
            <w:pPr>
              <w:spacing w:after="0"/>
            </w:pPr>
            <w:r>
              <w:rPr>
                <w:sz w:val="16"/>
              </w:rPr>
              <w:t>18</w:t>
            </w:r>
          </w:p>
        </w:tc>
        <w:tc>
          <w:tcPr>
            <w:tcW w:type="dxa" w:w="5328"/>
            <w:shd w:fill="EAF2F8"/>
            <w:vAlign w:val="center"/>
          </w:tcPr>
          <w:p>
            <w:pPr>
              <w:spacing w:after="0"/>
            </w:pPr>
            <w:r>
              <w:rPr>
                <w:sz w:val="16"/>
              </w:rPr>
              <w:t>Risk register</w:t>
            </w:r>
          </w:p>
        </w:tc>
        <w:tc>
          <w:tcPr>
            <w:tcW w:type="dxa" w:w="3672"/>
            <w:shd w:fill="EAF2F8"/>
            <w:vAlign w:val="center"/>
          </w:tcPr>
          <w:p>
            <w:pPr>
              <w:spacing w:after="0"/>
            </w:pPr>
            <w:r>
              <w:rPr>
                <w:sz w:val="16"/>
              </w:rPr>
              <w:t>Section 15</w:t>
            </w:r>
          </w:p>
        </w:tc>
      </w:tr>
      <w:tr>
        <w:tc>
          <w:tcPr>
            <w:tcW w:type="dxa" w:w="648"/>
            <w:vAlign w:val="center"/>
          </w:tcPr>
          <w:p>
            <w:pPr>
              <w:spacing w:after="0"/>
            </w:pPr>
            <w:r>
              <w:rPr>
                <w:sz w:val="16"/>
              </w:rPr>
              <w:t>19</w:t>
            </w:r>
          </w:p>
        </w:tc>
        <w:tc>
          <w:tcPr>
            <w:tcW w:type="dxa" w:w="5328"/>
            <w:vAlign w:val="center"/>
          </w:tcPr>
          <w:p>
            <w:pPr>
              <w:spacing w:after="0"/>
            </w:pPr>
            <w:r>
              <w:rPr>
                <w:sz w:val="16"/>
              </w:rPr>
              <w:t>Assumptions and deviations</w:t>
            </w:r>
          </w:p>
        </w:tc>
        <w:tc>
          <w:tcPr>
            <w:tcW w:type="dxa" w:w="3672"/>
            <w:vAlign w:val="center"/>
          </w:tcPr>
          <w:p>
            <w:pPr>
              <w:spacing w:after="0"/>
            </w:pPr>
            <w:r>
              <w:rPr>
                <w:sz w:val="16"/>
              </w:rPr>
              <w:t>Section 16</w:t>
            </w:r>
          </w:p>
        </w:tc>
      </w:tr>
      <w:tr>
        <w:tc>
          <w:tcPr>
            <w:tcW w:type="dxa" w:w="648"/>
            <w:shd w:fill="EAF2F8"/>
            <w:vAlign w:val="center"/>
          </w:tcPr>
          <w:p>
            <w:pPr>
              <w:spacing w:after="0"/>
            </w:pPr>
            <w:r>
              <w:rPr>
                <w:sz w:val="16"/>
              </w:rPr>
              <w:t>20</w:t>
            </w:r>
          </w:p>
        </w:tc>
        <w:tc>
          <w:tcPr>
            <w:tcW w:type="dxa" w:w="5328"/>
            <w:shd w:fill="EAF2F8"/>
            <w:vAlign w:val="center"/>
          </w:tcPr>
          <w:p>
            <w:pPr>
              <w:spacing w:after="0"/>
            </w:pPr>
            <w:r>
              <w:rPr>
                <w:sz w:val="16"/>
              </w:rPr>
              <w:t>IP, data and portability</w:t>
            </w:r>
          </w:p>
        </w:tc>
        <w:tc>
          <w:tcPr>
            <w:tcW w:type="dxa" w:w="3672"/>
            <w:shd w:fill="EAF2F8"/>
            <w:vAlign w:val="center"/>
          </w:tcPr>
          <w:p>
            <w:pPr>
              <w:spacing w:after="0"/>
            </w:pPr>
            <w:r>
              <w:rPr>
                <w:sz w:val="16"/>
              </w:rPr>
              <w:t>Section 17</w:t>
            </w:r>
          </w:p>
        </w:tc>
      </w:tr>
    </w:tbl>
    <w:p/>
    <w:p>
      <w:pPr>
        <w:pStyle w:val="Heading2"/>
      </w:pPr>
      <w:r>
        <w:t>Finalization Checklist</w:t>
      </w:r>
    </w:p>
    <w:p>
      <w:pPr>
        <w:pStyle w:val="ListBullet"/>
      </w:pPr>
      <w:r>
        <w:t>Confirm legal entity, contact and signatory.</w:t>
      </w:r>
    </w:p>
    <w:p>
      <w:pPr>
        <w:pStyle w:val="ListBullet"/>
      </w:pPr>
      <w:r>
        <w:t>Add verified healthcare and Saudi/regional references.</w:t>
      </w:r>
    </w:p>
    <w:p>
      <w:pPr>
        <w:pStyle w:val="ListBullet"/>
      </w:pPr>
      <w:r>
        <w:t>Name team and attach biographies and certifications.</w:t>
      </w:r>
    </w:p>
    <w:p>
      <w:pPr>
        <w:pStyle w:val="ListBullet"/>
      </w:pPr>
      <w:r>
        <w:t>Select Saudi hosting topology and named technology stack.</w:t>
      </w:r>
    </w:p>
    <w:p>
      <w:pPr>
        <w:pStyle w:val="ListBullet"/>
      </w:pPr>
      <w:r>
        <w:t>Confirm volumes, language, hours, RPO/RTO and SLAs.</w:t>
      </w:r>
    </w:p>
    <w:p>
      <w:pPr>
        <w:pStyle w:val="ListBullet"/>
      </w:pPr>
      <w:r>
        <w:t>Complete pricing and contractual IP, model, liability and data positions.</w:t>
      </w:r>
    </w:p>
    <w:p>
      <w:pPr>
        <w:pStyle w:val="ListBullet"/>
      </w:pPr>
      <w:r>
        <w:t>Complete legal, security and commercial review.</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  Wareed Sovereign Agentic AI Operations Center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Wareed Sovereign Agentic AI Operations Center Response Proposal</dc:title>
  <dc:subject/>
  <dc:creator>NeoLimits</dc:creator>
  <cp:keywords/>
  <dc:description>generated by python-docx</dc:description>
  <cp:lastModifiedBy/>
  <cp:revision>1</cp:revision>
  <dcterms:created xsi:type="dcterms:W3CDTF">2013-12-23T23:15:00Z</dcterms:created>
  <dcterms:modified xsi:type="dcterms:W3CDTF">2013-12-23T23:15:00Z</dcterms:modified>
  <cp:category/>
</cp:coreProperties>
</file>