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Citadel Securities — Data Scientist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building predictive models, running rigorous experiments, and partnering with engineers to turn complex data into decisions at consumer-internet scale (Meta, Adobe). Maths background (UC Berkeley Applied Mathematics, CS concentration) with strong Python and SQL and a bias toward measurement rigour in fast-paced environments.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Modelling:</w:t>
      </w:r>
      <w:r>
        <w:t xml:space="preserve"> Statistical modelling and machine learning — regression, classification, clustering, churn / propensity modelling, time-series forecasting; revenue attribution; funnel &amp; cohort analysis.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Methods:</w:t>
      </w:r>
      <w:r>
        <w:t xml:space="preserve"> Causal inference (difference-in-differences, synthetic control, CUPED / variance reduction), A/B testing and experimentation, holdout methodology, power analysis, incrementality measurement.</w:t>
      </w:r>
    </w:p>
    <w:p>
      <w:r>
        <w:rPr>
          <w:b/>
        </w:rPr>
        <w:t>Domain &amp; communication:</w:t>
      </w:r>
      <w:r>
        <w:t xml:space="preserve"> Marketplace dynamics, product analytics; cross-functional partnership with engineering and product; executive reporting and design docs.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targeted reactivation campaigns that converted dormant accounts into active spenders.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 — the key evidence that re-prioritised multi-year product investment in commerce ads.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thresholds, balancing experimentation velocity with measurement integrity across concurrent A/B and holdout tests.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using time-series decomposition and structured hypothesis testing; implemented recovery plan that restored metrics to baseline.</w:t>
      </w:r>
    </w:p>
    <w:p>
      <w:pPr>
        <w:pStyle w:val="ListBullet"/>
      </w:pPr>
      <w:r>
        <w:rPr>
          <w:b/>
        </w:rPr>
        <w:t>Authored revenue-sizing framework:</w:t>
      </w:r>
      <w:r>
        <w:t xml:space="preserve"> built TAM models, adoption curves, and cannibalisation adjustments across 7 product initiatives; adopted as the standard methodology for investment prioritisation.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communicated feature-importance signals to inform GTM.</w:t>
      </w:r>
    </w:p>
    <w:p>
      <w:pPr>
        <w:pStyle w:val="ListBullet"/>
      </w:pPr>
      <w:r>
        <w:rPr>
          <w:b/>
        </w:rPr>
        <w:t>Cut forecast error by 7pp:</w:t>
      </w:r>
      <w:r>
        <w:t xml:space="preserve"> owned KPI targets and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extraction &amp; reporting pipelines stitching 10+ systems (SFDC, DnB, Hadoop, SAP) into customer-journey profiles, powering 20+ production and ad-hoc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models on rehabilitation outcomes.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