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OpenAI — Data Scientist, Safety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turning ambiguous, open-ended questions into measurable metrics, controlled experiments, and evidence-based recommendations at consumer-internet scale (Meta, Adobe). Specialist in causal inference, experimentation, and measurement integrity, with a track record building guardrail frameworks, segmenting populations via propensity modelling, and leading rapid investigations — directly relevant to detecting misuse, sizing impact, and protecting product integrity. Maths and political-economy background.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measurement; measurement integrity and guardrails; funnel &amp; cohort analysis, churn / propensity modelling, revenue attribution.</w:t>
      </w:r>
    </w:p>
    <w:p>
      <w:r>
        <w:rPr>
          <w:b/>
        </w:rPr>
        <w:t>Modelling:</w:t>
      </w:r>
      <w:r>
        <w:t xml:space="preserve"> Statistical modelling and machine learning — regression, classification, clustering, time-series forecasting, anomaly detection.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Product analytics, marketplace dynamics; executive reporting and design docs; cross-functional partnership with product, engineering and operations.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thresholds, balancing experimentation velocity with measurement integrity across the team's quarterly roadmap of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investigation window using time-series decomposition and structured hypothesis testing; implemented recovery plan that restored metrics to baseline.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 in commerce ads.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advertiser product-adoption journey; surfaced that only 22% of eligible advertisers converted through the primary surface, re-prioritising UX investment and driving downstream adoption gains.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initiatives; adopted as the standard methodology for investment prioritisation and used in executive planning reviews.</w:t>
      </w:r>
    </w:p>
    <w:p>
      <w:pPr>
        <w:pStyle w:val="ListBullet"/>
      </w:pPr>
      <w:r>
        <w:rPr>
          <w:b/>
        </w:rPr>
        <w:t>Set analytics standards and grew the team:</w:t>
      </w:r>
      <w:r>
        <w:t xml:space="preserve"> authored RFCs and analytics playbooks adopted across the org, founded the team's data-science forum, mentored 2 apprentices to successful completion, and established the quarterly goal-setting methodology used by product and engineering leadership.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for GTM, mapped them to sales plays, and communicated feature-importance signals to inform sales conversations.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across user personas via retention–feature-usage correlation analysis; validated key features via A/B testing and shipped in-app messaging to encourage feature usage.</w:t>
      </w:r>
    </w:p>
    <w:p>
      <w:pPr>
        <w:pStyle w:val="ListBullet"/>
      </w:pPr>
      <w:r>
        <w:rPr>
          <w:b/>
        </w:rPr>
        <w:t>Cut forecast error by 7pp:</w:t>
      </w:r>
      <w:r>
        <w:t xml:space="preserve"> owned KPI targets and weekly metric reports for Adobe XD and Video;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Led 0→1 content-automation product analytics:</w:t>
      </w:r>
      <w:r>
        <w:t xml:space="preserve"> ran 10+ user interviews, co-authored PRDs/PPCs, drafted vision and roadmap; concept approved and alpha shipped to 1,000 users ahead of private beta.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 into customer-journey profiles,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built a text-based occupation recommender for CareerVillage using TF-IDF and fastText, serving under-represented youth.  •  Code for San Francisco (2019): logistic-regression models on homelessness rehabilitation outcomes by demographic segment.  •  ShelterTech (2018): defined and built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