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Stripe — Data Scientist, EMEA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driving business impact through experimentation, forecasting, and revenue / funnel analytics at consumer-internet scale (Meta, Adobe). Specialist in designing controlled experiments, building time-series forecasts, and turning rigorous analysis into product and go-to-market decisions across cross-functional teams.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Methods:</w:t>
      </w:r>
      <w:r>
        <w:t xml:space="preserve"> A/B testing and experimentation, holdout methodology, power analysis, CUPED / variance reduction, incrementality measurement; causal inference (difference-in-differences, synthetic control).</w:t>
      </w:r>
    </w:p>
    <w:p>
      <w:r>
        <w:rPr>
          <w:b/>
        </w:rPr>
        <w:t>Modelling &amp; forecasting:</w:t>
      </w:r>
      <w:r>
        <w:t xml:space="preserve"> Time-series forecasting and anomaly detection; churn / propensity modelling; regression, classification, clustering; funnel &amp; cohort analysis, revenue attribution.</w:t>
      </w:r>
    </w:p>
    <w:p>
      <w:r>
        <w:rPr>
          <w:b/>
        </w:rPr>
        <w:t>Languages &amp; stack: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Domain &amp; communication:</w:t>
      </w:r>
      <w:r>
        <w:t xml:space="preserve"> E-commerce platforms, marketplace dynamics, product analytics, growth; executive reporting and design docs; cross-functional partnership with product, engineering and sales.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thresholds, balancing experimentation velocity with measurement integrity across concurrent A/B and holdout tests.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 — re-prioritising multi-year product investment.</w:t>
      </w:r>
    </w:p>
    <w:p>
      <w:pPr>
        <w:pStyle w:val="ListBullet"/>
      </w:pPr>
      <w:r>
        <w:rPr>
          <w:b/>
        </w:rPr>
        <w:t>Unlocked dormant ad spend:</w:t>
      </w:r>
      <w:r>
        <w:t xml:space="preserve"> identified three suppressed-spend advertiser segments via cohort analysis and propensity modelling; partnered with product and sales-ops on reactivation campaigns that converted dormant accounts into active spenders.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decline in product opt-in rates within a 6-week window via time-series decomposition and structured hypothesis testing; restored metrics to baseline.</w:t>
      </w:r>
    </w:p>
    <w:p>
      <w:pPr>
        <w:pStyle w:val="ListBullet"/>
      </w:pPr>
      <w:r>
        <w:rPr>
          <w:b/>
        </w:rPr>
        <w:t>Authored revenue-sizing framework:</w:t>
      </w:r>
      <w:r>
        <w:t xml:space="preserve"> built TAM models, adoption curves, and cannibalisation adjustments across 7 product initiatives; adopted as the standard methodology for investment prioritisation.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Cut forecast error by 7pp:</w:t>
      </w:r>
      <w:r>
        <w:t xml:space="preserve"> owned KPI targets and weekly metric reports for Adobe XD and Video;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ranked target accounts and mapped them to sales plays.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across user personas via retention–feature-usage correlation analysis; validated key features via A/B testing and in-app messaging.</w:t>
      </w:r>
    </w:p>
    <w:p>
      <w:pPr>
        <w:pStyle w:val="ListBullet"/>
      </w:pPr>
      <w:r>
        <w:rPr>
          <w:b/>
        </w:rPr>
        <w:t>Modelled subscription-migration and cross-/upsell propensity:</w:t>
      </w:r>
      <w:r>
        <w:t xml:space="preserve"> partnered with PMs and Sales Ops to size TAM and shape the Named Account target list for enterprise sales.</w:t>
      </w:r>
    </w:p>
    <w:p>
      <w:pPr>
        <w:pStyle w:val="ListBullet"/>
      </w:pPr>
      <w:r>
        <w:rPr>
          <w:b/>
        </w:rPr>
        <w:t>(BI Analyst sub-role)</w:t>
      </w:r>
      <w:r>
        <w:t xml:space="preserve"> built scalable extraction &amp; reporting pipelines stitching 10+ systems (SFDC, DnB, Hadoop, SAP), powering 20+ production and ad-hoc dashboards.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TF-IDF / fastText occupation recommender for CareerVillage.  •  Code for San Francisco (2019): logistic-regression rehabilitation-outcome models.  •  ShelterTech (2018): dashboards for Product, Community and Marketing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