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The Trade Desk — Data Scientist II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in digital advertising and large-scale product data (Meta Ads &amp; Commerce, Adobe). Deep knowledge of the advertiser lifecycle and revenue measurement, combined with applied machine learning and rigorous experimentation, and a record of partnering closely with engineering and product across the analytics and product lifecycle.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Domain:</w:t>
      </w:r>
      <w:r>
        <w:t xml:space="preserve"> Digital advertising, advertiser lifecycle, marketplace dynamics, e-commerce platforms, product analytics, growth, revenue attribution.</w:t>
      </w:r>
    </w:p>
    <w:p>
      <w:r>
        <w:rPr>
          <w:b/>
        </w:rPr>
        <w:t>Modelling:</w:t>
      </w:r>
      <w:r>
        <w:t xml:space="preserve"> Statistical modelling and machine learning — regression, classification, clustering, churn / propensity modelling, time-series forecasting.</w:t>
      </w:r>
    </w:p>
    <w:p>
      <w:r>
        <w:rPr>
          <w:b/>
        </w:rPr>
        <w:t>Methods:</w:t>
      </w:r>
      <w:r>
        <w:t xml:space="preserve"> A/B testing and experimentation, holdout methodology, power analysis, CUPED / variance reduction, incrementality measurement; causal inference (difference-in-differences, synthetic control).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 Cross-functional partnership with engineering and product.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 — the key evidence that re-prioritised multi-year product investment in commerce ads.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targeted reactivation campaigns that converted dormant accounts into active spenders.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concurrent A/B and holdout tests.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advertiser product-adoption journey; surfaced that only 22% of eligible advertisers converted through the primary surface, re-prioritising UX investment.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decline in product opt-in rates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Authored revenue-sizing framework:</w:t>
      </w:r>
      <w:r>
        <w:t xml:space="preserve"> built TAM models, adoption curves, and cannibalisation adjustments across 7 product initiatives, adopted as the standard methodology for investment prioritisation.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and communicated feature-importance signals to inform GTM.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via retention–feature-usage correlation analysis; validated key features via A/B testing.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extraction &amp; reporting pipelines stitching 10+ systems (SFDC, DnB, Hadoop, SAP), powering 20+ production and ad-hoc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TF-IDF / fastText occupation recommender for CareerVillage.  •  Code for San Francisco (2019): logistic-regression rehabilitation-outcome models.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