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HANI AZAM</w:t>
      </w:r>
    </w:p>
    <w:p>
      <w:pPr>
        <w:jc w:val="center"/>
      </w:pPr>
      <w:r>
        <w:t>London, UK  |  azamhani95@gmail.com  |  linkedin.com/in/hani-azam-6b5642187  |  +44 7977 527105</w:t>
      </w:r>
    </w:p>
    <w:p>
      <w:r>
        <w:rPr>
          <w:b/>
        </w:rPr>
        <w:t>Tailored for:</w:t>
      </w:r>
      <w:r>
        <w:t xml:space="preserve"> G-Research — Data Scientist</w:t>
      </w:r>
    </w:p>
    <w:p>
      <w:r>
        <w:rPr>
          <w:b/>
          <w:color w:val="1F3B5C"/>
          <w:sz w:val="24"/>
        </w:rPr>
        <w:t>SUMMARY</w:t>
      </w:r>
    </w:p>
    <w:p>
      <w:r>
        <w:t>Product data scientist with ~9 years' experience building statistical and machine-learning models, running rigorous experiments, and engineering data pipelines at consumer-internet scale (Meta, Adobe). Maths-heavy background (UC Berkeley Applied Mathematics) with strong Python and data-engineering instincts, pairing model rigour with production-grade pipelines and close engineering partnership.</w:t>
      </w:r>
    </w:p>
    <w:p>
      <w:r>
        <w:rPr>
          <w:b/>
          <w:color w:val="1F3B5C"/>
          <w:sz w:val="24"/>
        </w:rPr>
        <w:t>SELECTED SKILLS</w:t>
      </w:r>
    </w:p>
    <w:p>
      <w:r>
        <w:rPr>
          <w:b/>
        </w:rPr>
        <w:t>Modelling &amp; statistics:</w:t>
      </w:r>
      <w:r>
        <w:t xml:space="preserve"> Statistical modelling and machine learning — regression, classification, clustering, churn / propensity modelling, time-series forecasting; causal inference (difference-in-differences, synthetic control, CUPED / variance reduction).</w:t>
      </w:r>
    </w:p>
    <w:p>
      <w:r>
        <w:rPr>
          <w:b/>
        </w:rPr>
        <w:t>Data engineering:</w:t>
      </w:r>
      <w:r>
        <w:t xml:space="preserve"> Python, SQL, Spark, Hadoop; distributed data warehouses and SQL engines; ETL pipeline development; version control (Git).</w:t>
      </w:r>
    </w:p>
    <w:p>
      <w:r>
        <w:rPr>
          <w:b/>
        </w:rPr>
        <w:t>Experimentation:</w:t>
      </w:r>
      <w:r>
        <w:t xml:space="preserve"> A/B testing and experimentation, holdout methodology, power analysis, incrementality measurement; anomaly detection.</w:t>
      </w:r>
    </w:p>
    <w:p>
      <w:r>
        <w:rPr>
          <w:b/>
        </w:rPr>
        <w:t>Domain &amp; communication:</w:t>
      </w:r>
      <w:r>
        <w:t xml:space="preserve"> Product analytics, marketplace dynamics; cross-functional partnership with engineering and product; executive reporting and design docs.</w:t>
      </w:r>
    </w:p>
    <w:p>
      <w:r>
        <w:rPr>
          <w:b/>
          <w:color w:val="1F3B5C"/>
          <w:sz w:val="24"/>
        </w:rPr>
        <w:t>EXPERIENCE</w:t>
      </w:r>
    </w:p>
    <w:p>
      <w:r>
        <w:rPr>
          <w:b/>
        </w:rPr>
        <w:t>Meta</w:t>
      </w:r>
      <w:r>
        <w:t xml:space="preserve"> — London, UK · </w:t>
      </w:r>
      <w:r>
        <w:rPr>
          <w:i/>
        </w:rPr>
        <w:t>Mar 2021 – Present</w:t>
      </w:r>
    </w:p>
    <w:p>
      <w:r>
        <w:rPr>
          <w:i/>
        </w:rPr>
        <w:t>Data Scientist, Ads &amp; Commerce Analytics</w:t>
      </w:r>
    </w:p>
    <w:p>
      <w:pPr>
        <w:pStyle w:val="ListBullet"/>
      </w:pPr>
      <w:r>
        <w:rPr>
          <w:b/>
        </w:rPr>
        <w:t>Unlocked dormant ad spend:</w:t>
      </w:r>
      <w:r>
        <w:t xml:space="preserve"> identified three distinct suppressed-spend advertiser segments via cohort analysis and propensity modelling; partnered with product and sales-ops to launch reactivation campaigns that converted dormant accounts into active spenders.</w:t>
      </w:r>
    </w:p>
    <w:p>
      <w:pPr>
        <w:pStyle w:val="ListBullet"/>
      </w:pPr>
      <w:r>
        <w:rPr>
          <w:b/>
        </w:rPr>
        <w:t>Proved causal revenue relationship at scale:</w:t>
      </w:r>
      <w:r>
        <w:t xml:space="preserve"> using difference-in-differences and synthetic-control methods, demonstrated that a +1pp increase in on-platform transaction share drives +4% incremental advertising revenue, re-prioritising multi-year product investment.</w:t>
      </w:r>
    </w:p>
    <w:p>
      <w:pPr>
        <w:pStyle w:val="ListBullet"/>
      </w:pPr>
      <w:r>
        <w:rPr>
          <w:b/>
        </w:rPr>
        <w:t>Built experimentation guardrail framework:</w:t>
      </w:r>
      <w:r>
        <w:t xml:space="preserve"> designed a 12% traffic-allocation methodology with power analysis, CUPED variance reduction, and automated alerting thresholds across concurrent A/B and holdout tests.</w:t>
      </w:r>
    </w:p>
    <w:p>
      <w:pPr>
        <w:pStyle w:val="ListBullet"/>
      </w:pPr>
      <w:r>
        <w:rPr>
          <w:b/>
        </w:rPr>
        <w:t>Led cross-functional war-room investigation:</w:t>
      </w:r>
      <w:r>
        <w:t xml:space="preserve"> diagnosed a 0.63pp opt-in decline within a 6-week window via time-series decomposition and structured hypothesis testing; restored metrics to baseline.</w:t>
      </w:r>
    </w:p>
    <w:p>
      <w:pPr>
        <w:pStyle w:val="ListBullet"/>
      </w:pPr>
      <w:r>
        <w:rPr>
          <w:b/>
        </w:rPr>
        <w:t>Instrumented end-to-end adoption funnel:</w:t>
      </w:r>
      <w:r>
        <w:t xml:space="preserve"> partnered with engineering to ship comprehensive logging across the product-adoption journey; surfaced that only 22% of eligible advertisers converted through the primary surface.</w:t>
      </w:r>
    </w:p>
    <w:p>
      <w:r>
        <w:rPr>
          <w:b/>
        </w:rPr>
        <w:t>Adobe Inc.</w:t>
      </w:r>
      <w:r>
        <w:t xml:space="preserve"> — San Francisco, CA · </w:t>
      </w:r>
      <w:r>
        <w:rPr>
          <w:i/>
        </w:rPr>
        <w:t>May 2017 – Feb 2021</w:t>
      </w:r>
    </w:p>
    <w:p>
      <w:r>
        <w:rPr>
          <w:i/>
        </w:rPr>
        <w:t>Data Scientist (Product), 2018–21; Business Intelligence Analyst, 2017–18</w:t>
      </w:r>
    </w:p>
    <w:p>
      <w:pPr>
        <w:pStyle w:val="ListBullet"/>
      </w:pPr>
      <w:r>
        <w:rPr>
          <w:b/>
        </w:rPr>
        <w:t>(BI Analyst sub-role)</w:t>
      </w:r>
      <w:r>
        <w:t xml:space="preserve"> built scalable extraction &amp; reporting pipelines stitching 10+ systems (SFDC, DnB, Hadoop, SAP) into customer-journey profiles, powering 20+ production and ad-hoc dashboards.</w:t>
      </w:r>
    </w:p>
    <w:p>
      <w:pPr>
        <w:pStyle w:val="ListBullet"/>
      </w:pPr>
      <w:r>
        <w:rPr>
          <w:b/>
        </w:rPr>
        <w:t>Drove $4M in net-new pipeline:</w:t>
      </w:r>
      <w:r>
        <w:t xml:space="preserve"> built a B2B purchase-propensity model (logistic regression) for Adobe Stock; ranked target accounts for GTM.</w:t>
      </w:r>
    </w:p>
    <w:p>
      <w:pPr>
        <w:pStyle w:val="ListBullet"/>
      </w:pPr>
      <w:r>
        <w:rPr>
          <w:b/>
        </w:rPr>
        <w:t>Cut forecast error by 7pp:</w:t>
      </w:r>
      <w:r>
        <w:t xml:space="preserve"> built time-series outlook models for QoQ / YoY anomaly detection that reduced MAPE by 7pp vs. prior baseline.</w:t>
      </w:r>
    </w:p>
    <w:p>
      <w:pPr>
        <w:pStyle w:val="ListBullet"/>
      </w:pPr>
      <w:r>
        <w:rPr>
          <w:b/>
        </w:rPr>
        <w:t>Lifted Adobe XD RMAU by 5pp:</w:t>
      </w:r>
      <w:r>
        <w:t xml:space="preserve"> defined activation metrics via retention–feature-usage correlation analysis; validated key features via A/B testing.</w:t>
      </w:r>
    </w:p>
    <w:p>
      <w:r>
        <w:rPr>
          <w:b/>
          <w:color w:val="1F3B5C"/>
          <w:sz w:val="24"/>
        </w:rPr>
        <w:t>EDUCATION</w:t>
      </w:r>
    </w:p>
    <w:p>
      <w:r>
        <w:rPr>
          <w:b/>
        </w:rPr>
        <w:t>University of California, Berkeley</w:t>
      </w:r>
      <w:r>
        <w:t xml:space="preserve"> · </w:t>
      </w:r>
      <w:r>
        <w:rPr>
          <w:i/>
        </w:rPr>
        <w:t>2018</w:t>
      </w:r>
    </w:p>
    <w:p>
      <w:r>
        <w:t>B.A. Applied Mathematics (Computer Science concentration); Minor in Political Economics</w:t>
      </w:r>
    </w:p>
    <w:p>
      <w:r>
        <w:rPr>
          <w:b/>
          <w:color w:val="1F3B5C"/>
          <w:sz w:val="24"/>
        </w:rPr>
        <w:t>PRO-BONO DATA SCIENCE</w:t>
      </w:r>
    </w:p>
    <w:p>
      <w:r>
        <w:t>Delta Analytics (Project Lead, 2020): TF-IDF / fastText occupation recommender for CareerVillage.  •  Code for San Francisco (2019): logistic-regression rehabilitation-outcome models.  •  ShelterTech (2018): dashboards for Product, Community and Marketing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