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HANI AZAM</w:t>
      </w:r>
    </w:p>
    <w:p>
      <w:pPr>
        <w:jc w:val="center"/>
      </w:pPr>
      <w:r>
        <w:t>London, UK  |  azamhani95@gmail.com  |  linkedin.com/in/hani-azam-6b5642187  |  +44 7977 527105</w:t>
      </w:r>
    </w:p>
    <w:p>
      <w:r>
        <w:rPr>
          <w:b/>
        </w:rPr>
        <w:t>Tailored for:</w:t>
      </w:r>
      <w:r>
        <w:t xml:space="preserve"> Google — Product Data Scientist (L5)</w:t>
      </w:r>
    </w:p>
    <w:p>
      <w:r>
        <w:rPr>
          <w:b/>
          <w:color w:val="1F3B5C"/>
          <w:sz w:val="24"/>
        </w:rPr>
        <w:t>SUMMARY</w:t>
      </w:r>
    </w:p>
    <w:p>
      <w:r>
        <w:t>Product data scientist with ~9 years' experience analysing consumer products at scale and running rigorous experiments that shape product strategy (Meta, Adobe). Specialist in experimentation, causal inference, and metric design, with a record of influencing PM and engineering roadmaps through clear, evidence-based recommendations.</w:t>
      </w:r>
    </w:p>
    <w:p>
      <w:r>
        <w:rPr>
          <w:b/>
          <w:color w:val="1F3B5C"/>
          <w:sz w:val="24"/>
        </w:rPr>
        <w:t>SELECTED SKILLS</w:t>
      </w:r>
    </w:p>
    <w:p>
      <w:r>
        <w:rPr>
          <w:b/>
        </w:rPr>
        <w:t>Experimentation &amp; inference:</w:t>
      </w:r>
      <w:r>
        <w:t xml:space="preserve"> A/B testing and experimentation design, holdout methodology, power analysis, CUPED / variance reduction, incrementality measurement; causal inference (difference-in-differences, synthetic control); metric and goal design.</w:t>
      </w:r>
    </w:p>
    <w:p>
      <w:r>
        <w:rPr>
          <w:b/>
        </w:rPr>
        <w:t>Product analytics:</w:t>
      </w:r>
      <w:r>
        <w:t xml:space="preserve"> funnel &amp; cohort analysis, activation / retention metrics, churn / propensity modelling, revenue attribution; time-series forecasting and anomaly detection.</w:t>
      </w:r>
    </w:p>
    <w:p>
      <w:r>
        <w:rPr>
          <w:b/>
        </w:rPr>
        <w:t>Languages &amp; stack:</w:t>
      </w:r>
      <w:r>
        <w:t xml:space="preserve"> Python, SQL, Spark, Hadoop; distributed data warehouses and SQL engines; ETL pipeline development; version control (Git).</w:t>
      </w:r>
    </w:p>
    <w:p>
      <w:r>
        <w:rPr>
          <w:b/>
        </w:rPr>
        <w:t>Communication:</w:t>
      </w:r>
      <w:r>
        <w:t xml:space="preserve"> executive reporting and design docs; KPI / goal-setting frameworks; cross-functional partnership with product and engineering.</w:t>
      </w:r>
    </w:p>
    <w:p>
      <w:r>
        <w:rPr>
          <w:b/>
          <w:color w:val="1F3B5C"/>
          <w:sz w:val="24"/>
        </w:rPr>
        <w:t>EXPERIENCE</w:t>
      </w:r>
    </w:p>
    <w:p>
      <w:r>
        <w:rPr>
          <w:b/>
        </w:rPr>
        <w:t>Meta</w:t>
      </w:r>
      <w:r>
        <w:t xml:space="preserve"> — London, UK · </w:t>
      </w:r>
      <w:r>
        <w:rPr>
          <w:i/>
        </w:rPr>
        <w:t>Mar 2021 – Present</w:t>
      </w:r>
    </w:p>
    <w:p>
      <w:r>
        <w:rPr>
          <w:i/>
        </w:rPr>
        <w:t>Data Scientist, Ads &amp; Commerce Analytics</w:t>
      </w:r>
    </w:p>
    <w:p>
      <w:pPr>
        <w:pStyle w:val="ListBullet"/>
      </w:pPr>
      <w:r>
        <w:rPr>
          <w:b/>
        </w:rPr>
        <w:t>Proved causal revenue relationship at scale:</w:t>
      </w:r>
      <w:r>
        <w:t xml:space="preserve"> using difference-in-differences and synthetic-control methods, demonstrated that a +1pp increase in on-platform transaction share drives +4% incremental advertising revenue — the key evidence that re-prioritised multi-year product investment in commerce ads.</w:t>
      </w:r>
    </w:p>
    <w:p>
      <w:pPr>
        <w:pStyle w:val="ListBullet"/>
      </w:pPr>
      <w:r>
        <w:rPr>
          <w:b/>
        </w:rPr>
        <w:t>Built experimentation guardrail framework:</w:t>
      </w:r>
      <w:r>
        <w:t xml:space="preserve"> designed a 12% traffic-allocation methodology with power analysis, CUPED variance reduction, and automated alerting thresholds across a quarterly roadmap of concurrent A/B and holdout tests.</w:t>
      </w:r>
    </w:p>
    <w:p>
      <w:pPr>
        <w:pStyle w:val="ListBullet"/>
      </w:pPr>
      <w:r>
        <w:rPr>
          <w:b/>
        </w:rPr>
        <w:t>Instrumented end-to-end adoption funnel:</w:t>
      </w:r>
      <w:r>
        <w:t xml:space="preserve"> partnered with engineering to ship comprehensive logging across the product-adoption journey; surfaced that only 22% of eligible advertisers converted through the primary surface, re-prioritising UX investment.</w:t>
      </w:r>
    </w:p>
    <w:p>
      <w:pPr>
        <w:pStyle w:val="ListBullet"/>
      </w:pPr>
      <w:r>
        <w:rPr>
          <w:b/>
        </w:rPr>
        <w:t>Led cross-functional war-room investigation:</w:t>
      </w:r>
      <w:r>
        <w:t xml:space="preserve"> diagnosed a 0.63pp decline in product opt-in rates within a 6-week window via time-series decomposition and structured hypothesis testing; restored metrics to baseline.</w:t>
      </w:r>
    </w:p>
    <w:p>
      <w:pPr>
        <w:pStyle w:val="ListBullet"/>
      </w:pPr>
      <w:r>
        <w:rPr>
          <w:b/>
        </w:rPr>
        <w:t>Authored revenue-sizing framework:</w:t>
      </w:r>
      <w:r>
        <w:t xml:space="preserve"> built TAM models, adoption curves, and cannibalisation adjustments across 7 product initiatives, used in executive planning reviews.</w:t>
      </w:r>
    </w:p>
    <w:p>
      <w:pPr>
        <w:pStyle w:val="ListBullet"/>
      </w:pPr>
      <w:r>
        <w:rPr>
          <w:b/>
        </w:rPr>
        <w:t>Set analytics standards and grew the team:</w:t>
      </w:r>
      <w:r>
        <w:t xml:space="preserve"> authored RFCs and analytics playbooks adopted across the org, founded the team's data-science forum, mentored 2 apprentices to successful completion, and established the quarterly goal-setting methodology used by product and engineering leadership.</w:t>
      </w:r>
    </w:p>
    <w:p>
      <w:r>
        <w:rPr>
          <w:b/>
        </w:rPr>
        <w:t>Adobe Inc.</w:t>
      </w:r>
      <w:r>
        <w:t xml:space="preserve"> — San Francisco, CA · </w:t>
      </w:r>
      <w:r>
        <w:rPr>
          <w:i/>
        </w:rPr>
        <w:t>May 2017 – Feb 2021</w:t>
      </w:r>
    </w:p>
    <w:p>
      <w:r>
        <w:rPr>
          <w:i/>
        </w:rPr>
        <w:t>Data Scientist (Product), 2018–21; Business Intelligence Analyst, 2017–18</w:t>
      </w:r>
    </w:p>
    <w:p>
      <w:pPr>
        <w:pStyle w:val="ListBullet"/>
      </w:pPr>
      <w:r>
        <w:rPr>
          <w:b/>
        </w:rPr>
        <w:t>Lifted Adobe XD RMAU by 5pp:</w:t>
      </w:r>
      <w:r>
        <w:t xml:space="preserve"> defined activation metrics across user personas via retention–feature-usage correlation analysis; validated key features via A/B testing.</w:t>
      </w:r>
    </w:p>
    <w:p>
      <w:pPr>
        <w:pStyle w:val="ListBullet"/>
      </w:pPr>
      <w:r>
        <w:rPr>
          <w:b/>
        </w:rPr>
        <w:t>Cut forecast error by 7pp:</w:t>
      </w:r>
      <w:r>
        <w:t xml:space="preserve"> built time-series outlook models for QoQ / YoY anomaly detection that reduced MAPE by 7pp vs. prior baseline.</w:t>
      </w:r>
    </w:p>
    <w:p>
      <w:pPr>
        <w:pStyle w:val="ListBullet"/>
      </w:pPr>
      <w:r>
        <w:rPr>
          <w:b/>
        </w:rPr>
        <w:t>Drove $4M in net-new pipeline:</w:t>
      </w:r>
      <w:r>
        <w:t xml:space="preserve"> built a B2B purchase-propensity model (logistic regression) for Adobe Stock.</w:t>
      </w:r>
    </w:p>
    <w:p>
      <w:pPr>
        <w:pStyle w:val="ListBullet"/>
      </w:pPr>
      <w:r>
        <w:rPr>
          <w:b/>
        </w:rPr>
        <w:t>Led 0→1 content-automation product analytics:</w:t>
      </w:r>
      <w:r>
        <w:t xml:space="preserve"> ran 10+ user interviews, co-authored PRDs, drafted vision and roadmap; alpha shipped to 1,000 users.</w:t>
      </w:r>
    </w:p>
    <w:p>
      <w:pPr>
        <w:pStyle w:val="ListBullet"/>
      </w:pPr>
      <w:r>
        <w:rPr>
          <w:b/>
        </w:rPr>
        <w:t>(BI Analyst sub-role)</w:t>
      </w:r>
      <w:r>
        <w:t xml:space="preserve"> built ETL pipelines stitching 10+ systems (SFDC, DnB, Hadoop, SAP), powering 20+ dashboards.</w:t>
      </w:r>
    </w:p>
    <w:p>
      <w:r>
        <w:rPr>
          <w:b/>
          <w:color w:val="1F3B5C"/>
          <w:sz w:val="24"/>
        </w:rPr>
        <w:t>EDUCATION</w:t>
      </w:r>
    </w:p>
    <w:p>
      <w:r>
        <w:rPr>
          <w:b/>
        </w:rPr>
        <w:t>University of California, Berkeley</w:t>
      </w:r>
      <w:r>
        <w:t xml:space="preserve"> · </w:t>
      </w:r>
      <w:r>
        <w:rPr>
          <w:i/>
        </w:rPr>
        <w:t>2018</w:t>
      </w:r>
    </w:p>
    <w:p>
      <w:r>
        <w:t>B.A. Applied Mathematics (Computer Science concentration); Minor in Political Economics</w:t>
      </w:r>
    </w:p>
    <w:p>
      <w:r>
        <w:rPr>
          <w:b/>
          <w:color w:val="1F3B5C"/>
          <w:sz w:val="24"/>
        </w:rPr>
        <w:t>PRO-BONO DATA SCIENCE</w:t>
      </w:r>
    </w:p>
    <w:p>
      <w:r>
        <w:t>Delta Analytics (Project Lead, 2020): TF-IDF / fastText occupation recommender for CareerVillage.  •  Code for San Francisco (2019): logistic-regression rehabilitation-outcome models.  •  ShelterTech (2018): dashboards for Product, Community and Marketing teams.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