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QuantumBlack (McKinsey) — Senior Data Scientist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translating ambiguous business problems into analytical solutions, building models, and communicating evidence to executive stakeholders (Meta, Adobe). Maths background (UC Berkeley Applied Mathematics) with strong Python, a record of standardising methodologies adopted across an org, and deep cross-functional partnership — well suited to stakeholder-facing, solution-oriented analytics delivery.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Modelling:</w:t>
      </w:r>
      <w:r>
        <w:t xml:space="preserve"> statistical modelling and machine learning — regression, classification, clustering, churn / propensity modelling, time-series forecasting; revenue attribution.</w:t>
      </w:r>
    </w:p>
    <w:p>
      <w:r>
        <w:rPr>
          <w:b/>
        </w:rPr>
        <w:t>Methods:</w:t>
      </w:r>
      <w:r>
        <w:t xml:space="preserve"> causal inference (difference-in-differences, synthetic control, CUPED / variance reduction), A/B testing and experimentation, holdout methodology, power analysis, incrementality measurement.</w:t>
      </w:r>
    </w:p>
    <w:p>
      <w:r>
        <w:rPr>
          <w:b/>
        </w:rPr>
        <w:t>Delivery &amp; communication:</w:t>
      </w:r>
      <w:r>
        <w:t xml:space="preserve"> translating business problems into analytical solutions; 0→1 product analytics (vision, roadmap, user research); executive reporting and design docs; RFCs and standard methodologies adopted across teams; cross-functional partnership.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Translated a business question into an analytical framework:</w:t>
      </w:r>
      <w:r>
        <w:t xml:space="preserve"> built TAM models, adoption curves, and cannibalisation adjustments across 7 product initiatives; adopted as the standard methodology for investment prioritisation and used in executive planning reviews.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the key evidence that re-prioritised multi-year product investment.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Set analytics standards and grew the team:</w:t>
      </w:r>
      <w:r>
        <w:t xml:space="preserve"> authored RFCs and analytics playbooks adopted across the org, founded the team's data-science forum, and mentored 2 apprentices to successful completion.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Led 0→1 content-automation product analytics:</w:t>
      </w:r>
      <w:r>
        <w:t xml:space="preserve"> ran 10+ user interviews, co-authored PRDs/PPCs, and drafted the vision and roadmap; concept approved and alpha shipped to 1,000 users ahead of private beta.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mapped them to sales plays.</w:t>
      </w:r>
    </w:p>
    <w:p>
      <w:pPr>
        <w:pStyle w:val="ListBullet"/>
      </w:pPr>
      <w:r>
        <w:rPr>
          <w:b/>
        </w:rPr>
        <w:t>Modelled subscription-migration and cross-/upsell propensity:</w:t>
      </w:r>
      <w:r>
        <w:t xml:space="preserve"> partnered with PMs and Sales Ops to size TAM and shape the Named Account target list.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ETL pipelines stitching 10+ systems (SFDC, DnB, Hadoop, SAP), powering 20+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built a text-based occupation recommender for CareerVillage using TF-IDF and fastText, serving under-represented youth.  •  Code for San Francisco (2019): logistic-regression models on homelessness rehabilitation outcomes by demographic segment.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